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501" w:rsidRDefault="004F60BB" w:rsidP="00745A71">
      <w:pPr>
        <w:jc w:val="center"/>
        <w:rPr>
          <w:b/>
          <w:sz w:val="28"/>
        </w:rPr>
      </w:pPr>
      <w:proofErr w:type="gramStart"/>
      <w:r w:rsidRPr="00745A71">
        <w:rPr>
          <w:rFonts w:hint="eastAsia"/>
          <w:b/>
          <w:sz w:val="28"/>
        </w:rPr>
        <w:t>芯联集成电路</w:t>
      </w:r>
      <w:proofErr w:type="gramEnd"/>
      <w:r w:rsidRPr="00745A71">
        <w:rPr>
          <w:rFonts w:hint="eastAsia"/>
          <w:b/>
          <w:sz w:val="28"/>
        </w:rPr>
        <w:t>制造股份有限公司清洁生产信息公示</w:t>
      </w:r>
    </w:p>
    <w:p w:rsidR="000E14A9" w:rsidRPr="000E14A9" w:rsidRDefault="000E14A9" w:rsidP="00F44756">
      <w:pPr>
        <w:ind w:firstLineChars="200" w:firstLine="480"/>
        <w:jc w:val="left"/>
        <w:rPr>
          <w:sz w:val="24"/>
          <w:szCs w:val="24"/>
        </w:rPr>
      </w:pPr>
      <w:proofErr w:type="gramStart"/>
      <w:r w:rsidRPr="000E14A9">
        <w:rPr>
          <w:rFonts w:hint="eastAsia"/>
          <w:sz w:val="24"/>
          <w:szCs w:val="24"/>
        </w:rPr>
        <w:t>芯联集成电路</w:t>
      </w:r>
      <w:proofErr w:type="gramEnd"/>
      <w:r w:rsidRPr="000E14A9">
        <w:rPr>
          <w:rFonts w:hint="eastAsia"/>
          <w:sz w:val="24"/>
          <w:szCs w:val="24"/>
        </w:rPr>
        <w:t>制造股份有限公司</w:t>
      </w:r>
      <w:r>
        <w:rPr>
          <w:rFonts w:hint="eastAsia"/>
          <w:sz w:val="24"/>
          <w:szCs w:val="24"/>
        </w:rPr>
        <w:t>于2025年6月被</w:t>
      </w:r>
      <w:r w:rsidRPr="000E14A9">
        <w:rPr>
          <w:rFonts w:hint="eastAsia"/>
          <w:sz w:val="24"/>
          <w:szCs w:val="24"/>
        </w:rPr>
        <w:t>浙江省生态环境厅</w:t>
      </w:r>
      <w:r>
        <w:rPr>
          <w:rFonts w:hint="eastAsia"/>
          <w:sz w:val="24"/>
          <w:szCs w:val="24"/>
        </w:rPr>
        <w:t>纳入2025年强制性清洁生产审核企业名单，为响应</w:t>
      </w:r>
      <w:r w:rsidRPr="000E14A9">
        <w:rPr>
          <w:rFonts w:hint="eastAsia"/>
          <w:sz w:val="24"/>
          <w:szCs w:val="24"/>
        </w:rPr>
        <w:t>江省生态环境厅</w:t>
      </w:r>
      <w:r>
        <w:rPr>
          <w:rFonts w:hint="eastAsia"/>
          <w:sz w:val="24"/>
          <w:szCs w:val="24"/>
        </w:rPr>
        <w:t>要求，</w:t>
      </w:r>
      <w:proofErr w:type="gramStart"/>
      <w:r w:rsidRPr="000E14A9">
        <w:rPr>
          <w:rFonts w:hint="eastAsia"/>
          <w:sz w:val="24"/>
          <w:szCs w:val="24"/>
        </w:rPr>
        <w:t>芯联集成电路</w:t>
      </w:r>
      <w:proofErr w:type="gramEnd"/>
      <w:r w:rsidRPr="000E14A9">
        <w:rPr>
          <w:rFonts w:hint="eastAsia"/>
          <w:sz w:val="24"/>
          <w:szCs w:val="24"/>
        </w:rPr>
        <w:t>制造股份有限公司</w:t>
      </w:r>
      <w:r w:rsidR="003C6DB4">
        <w:rPr>
          <w:rFonts w:hint="eastAsia"/>
          <w:sz w:val="24"/>
          <w:szCs w:val="24"/>
        </w:rPr>
        <w:t>从2025年7月开始实施</w:t>
      </w:r>
      <w:r w:rsidR="003C6DB4" w:rsidRPr="003C6DB4">
        <w:rPr>
          <w:rFonts w:hint="eastAsia"/>
          <w:sz w:val="24"/>
          <w:szCs w:val="24"/>
        </w:rPr>
        <w:t>清洁生产</w:t>
      </w:r>
      <w:r w:rsidR="003C6DB4">
        <w:rPr>
          <w:rFonts w:hint="eastAsia"/>
          <w:sz w:val="24"/>
          <w:szCs w:val="24"/>
        </w:rPr>
        <w:t>审核工作。</w:t>
      </w:r>
    </w:p>
    <w:p w:rsidR="003C6DB4" w:rsidRPr="003C6DB4" w:rsidRDefault="003C6DB4" w:rsidP="004F60BB">
      <w:pPr>
        <w:pStyle w:val="a3"/>
        <w:numPr>
          <w:ilvl w:val="0"/>
          <w:numId w:val="1"/>
        </w:numPr>
        <w:ind w:firstLineChars="0"/>
        <w:rPr>
          <w:b/>
          <w:sz w:val="24"/>
        </w:rPr>
      </w:pPr>
      <w:r w:rsidRPr="003C6DB4">
        <w:rPr>
          <w:rFonts w:hint="eastAsia"/>
          <w:b/>
          <w:sz w:val="24"/>
        </w:rPr>
        <w:t>企业基本情况</w:t>
      </w:r>
    </w:p>
    <w:p w:rsidR="004F60BB" w:rsidRDefault="004F60BB" w:rsidP="003C6DB4">
      <w:r w:rsidRPr="003C6DB4">
        <w:rPr>
          <w:rFonts w:hint="eastAsia"/>
          <w:b/>
          <w:sz w:val="24"/>
        </w:rPr>
        <w:t>企业名称：</w:t>
      </w:r>
      <w:proofErr w:type="gramStart"/>
      <w:r>
        <w:rPr>
          <w:rFonts w:hint="eastAsia"/>
        </w:rPr>
        <w:t>芯联集成电路</w:t>
      </w:r>
      <w:proofErr w:type="gramEnd"/>
      <w:r>
        <w:rPr>
          <w:rFonts w:hint="eastAsia"/>
        </w:rPr>
        <w:t>制造股份有限公司</w:t>
      </w:r>
    </w:p>
    <w:p w:rsidR="004F60BB" w:rsidRDefault="004F60BB" w:rsidP="003C6DB4">
      <w:r w:rsidRPr="003C6DB4">
        <w:rPr>
          <w:rFonts w:hint="eastAsia"/>
          <w:b/>
          <w:sz w:val="24"/>
        </w:rPr>
        <w:t>法人代表：</w:t>
      </w:r>
      <w:r>
        <w:rPr>
          <w:rFonts w:hint="eastAsia"/>
        </w:rPr>
        <w:t>赵奇</w:t>
      </w:r>
    </w:p>
    <w:p w:rsidR="004F60BB" w:rsidRDefault="004F60BB" w:rsidP="003C6DB4">
      <w:r w:rsidRPr="003C6DB4">
        <w:rPr>
          <w:rFonts w:hint="eastAsia"/>
          <w:b/>
          <w:sz w:val="24"/>
        </w:rPr>
        <w:t>企业所在地：</w:t>
      </w:r>
      <w:r w:rsidRPr="004F60BB">
        <w:rPr>
          <w:rFonts w:hint="eastAsia"/>
        </w:rPr>
        <w:t>浙江省绍兴市越城区</w:t>
      </w:r>
      <w:proofErr w:type="gramStart"/>
      <w:r w:rsidRPr="004F60BB">
        <w:rPr>
          <w:rFonts w:hint="eastAsia"/>
        </w:rPr>
        <w:t>皋</w:t>
      </w:r>
      <w:proofErr w:type="gramEnd"/>
      <w:r w:rsidRPr="004F60BB">
        <w:rPr>
          <w:rFonts w:hint="eastAsia"/>
        </w:rPr>
        <w:t>埠街道临江路</w:t>
      </w:r>
      <w:r w:rsidRPr="004F60BB">
        <w:t>518号</w:t>
      </w:r>
    </w:p>
    <w:p w:rsidR="004F60BB" w:rsidRPr="00745A71" w:rsidRDefault="004F60BB" w:rsidP="004F60BB">
      <w:pPr>
        <w:pStyle w:val="a3"/>
        <w:numPr>
          <w:ilvl w:val="0"/>
          <w:numId w:val="1"/>
        </w:numPr>
        <w:ind w:firstLineChars="0"/>
        <w:rPr>
          <w:b/>
          <w:sz w:val="24"/>
        </w:rPr>
      </w:pPr>
      <w:r w:rsidRPr="00745A71">
        <w:rPr>
          <w:rFonts w:hint="eastAsia"/>
          <w:b/>
          <w:sz w:val="24"/>
        </w:rPr>
        <w:t>使用有毒有害原料名称、数量、用途</w:t>
      </w:r>
    </w:p>
    <w:tbl>
      <w:tblPr>
        <w:tblStyle w:val="a4"/>
        <w:tblW w:w="5000" w:type="pct"/>
        <w:jc w:val="center"/>
        <w:tblLook w:val="04A0" w:firstRow="1" w:lastRow="0" w:firstColumn="1" w:lastColumn="0" w:noHBand="0" w:noVBand="1"/>
      </w:tblPr>
      <w:tblGrid>
        <w:gridCol w:w="845"/>
        <w:gridCol w:w="1983"/>
        <w:gridCol w:w="2554"/>
        <w:gridCol w:w="2914"/>
      </w:tblGrid>
      <w:tr w:rsidR="004F60BB" w:rsidRPr="00190E2F" w:rsidTr="00FA0E49">
        <w:trPr>
          <w:trHeight w:val="275"/>
          <w:jc w:val="center"/>
        </w:trPr>
        <w:tc>
          <w:tcPr>
            <w:tcW w:w="509" w:type="pct"/>
            <w:vAlign w:val="center"/>
          </w:tcPr>
          <w:p w:rsidR="004F60BB" w:rsidRPr="00190E2F" w:rsidRDefault="004F60BB" w:rsidP="00190E2F">
            <w:pPr>
              <w:pStyle w:val="a3"/>
              <w:ind w:firstLineChars="0" w:firstLine="0"/>
              <w:jc w:val="center"/>
              <w:rPr>
                <w:rFonts w:ascii="Times New Roman" w:eastAsiaTheme="minorHAnsi" w:hAnsi="Times New Roman" w:cs="Times New Roman"/>
              </w:rPr>
            </w:pPr>
            <w:r w:rsidRPr="00190E2F">
              <w:rPr>
                <w:rFonts w:ascii="Times New Roman" w:eastAsiaTheme="minorHAnsi" w:hAnsi="Times New Roman" w:cs="Times New Roman"/>
              </w:rPr>
              <w:t>序号</w:t>
            </w:r>
          </w:p>
        </w:tc>
        <w:tc>
          <w:tcPr>
            <w:tcW w:w="1195" w:type="pct"/>
            <w:vAlign w:val="center"/>
          </w:tcPr>
          <w:p w:rsidR="004F60BB" w:rsidRPr="00190E2F" w:rsidRDefault="004F60BB" w:rsidP="00190E2F">
            <w:pPr>
              <w:pStyle w:val="a3"/>
              <w:ind w:firstLineChars="0" w:firstLine="0"/>
              <w:jc w:val="center"/>
              <w:rPr>
                <w:rFonts w:ascii="Times New Roman" w:eastAsiaTheme="minorHAnsi" w:hAnsi="Times New Roman" w:cs="Times New Roman"/>
              </w:rPr>
            </w:pPr>
            <w:r w:rsidRPr="00190E2F">
              <w:rPr>
                <w:rFonts w:ascii="Times New Roman" w:eastAsiaTheme="minorHAnsi" w:hAnsi="Times New Roman" w:cs="Times New Roman"/>
              </w:rPr>
              <w:t>物料名称</w:t>
            </w:r>
          </w:p>
        </w:tc>
        <w:tc>
          <w:tcPr>
            <w:tcW w:w="1539" w:type="pct"/>
            <w:vAlign w:val="center"/>
          </w:tcPr>
          <w:p w:rsidR="004F60BB" w:rsidRPr="00190E2F" w:rsidRDefault="004F60BB" w:rsidP="00190E2F">
            <w:pPr>
              <w:pStyle w:val="a3"/>
              <w:ind w:firstLineChars="0" w:firstLine="0"/>
              <w:jc w:val="center"/>
              <w:rPr>
                <w:rFonts w:ascii="Times New Roman" w:eastAsiaTheme="minorHAnsi" w:hAnsi="Times New Roman" w:cs="Times New Roman"/>
              </w:rPr>
            </w:pPr>
            <w:r w:rsidRPr="00190E2F">
              <w:rPr>
                <w:rFonts w:ascii="Times New Roman" w:eastAsiaTheme="minorHAnsi" w:hAnsi="Times New Roman" w:cs="Times New Roman"/>
              </w:rPr>
              <w:t>数量</w:t>
            </w:r>
          </w:p>
        </w:tc>
        <w:tc>
          <w:tcPr>
            <w:tcW w:w="1756" w:type="pct"/>
            <w:vAlign w:val="center"/>
          </w:tcPr>
          <w:p w:rsidR="004F60BB" w:rsidRPr="00190E2F" w:rsidRDefault="004F60BB" w:rsidP="00190E2F">
            <w:pPr>
              <w:pStyle w:val="a3"/>
              <w:ind w:firstLineChars="0" w:firstLine="0"/>
              <w:jc w:val="center"/>
              <w:rPr>
                <w:rFonts w:ascii="Times New Roman" w:eastAsiaTheme="minorHAnsi" w:hAnsi="Times New Roman" w:cs="Times New Roman"/>
              </w:rPr>
            </w:pPr>
            <w:r w:rsidRPr="00190E2F">
              <w:rPr>
                <w:rFonts w:ascii="Times New Roman" w:eastAsiaTheme="minorHAnsi" w:hAnsi="Times New Roman" w:cs="Times New Roman"/>
              </w:rPr>
              <w:t>用途</w:t>
            </w:r>
          </w:p>
        </w:tc>
      </w:tr>
      <w:tr w:rsidR="006726DD" w:rsidRPr="00190E2F" w:rsidTr="00FA0E49">
        <w:trPr>
          <w:trHeight w:val="289"/>
          <w:jc w:val="center"/>
        </w:trPr>
        <w:tc>
          <w:tcPr>
            <w:tcW w:w="509" w:type="pct"/>
            <w:vAlign w:val="center"/>
          </w:tcPr>
          <w:p w:rsidR="006726DD" w:rsidRPr="00190E2F" w:rsidRDefault="00F848E1" w:rsidP="00190E2F">
            <w:pPr>
              <w:pStyle w:val="a3"/>
              <w:ind w:firstLineChars="0" w:firstLine="0"/>
              <w:jc w:val="center"/>
              <w:rPr>
                <w:rFonts w:ascii="Times New Roman" w:eastAsiaTheme="minorHAnsi" w:hAnsi="Times New Roman" w:cs="Times New Roman"/>
              </w:rPr>
            </w:pPr>
            <w:r>
              <w:rPr>
                <w:rFonts w:ascii="Times New Roman" w:eastAsiaTheme="minorHAnsi" w:hAnsi="Times New Roman" w:cs="Times New Roman" w:hint="eastAsia"/>
              </w:rPr>
              <w:t>1</w:t>
            </w:r>
          </w:p>
        </w:tc>
        <w:tc>
          <w:tcPr>
            <w:tcW w:w="1195" w:type="pct"/>
            <w:vAlign w:val="center"/>
          </w:tcPr>
          <w:p w:rsidR="006726DD" w:rsidRPr="00190E2F" w:rsidRDefault="00D47F51" w:rsidP="00190E2F">
            <w:pPr>
              <w:pStyle w:val="a3"/>
              <w:ind w:firstLineChars="0" w:firstLine="0"/>
              <w:jc w:val="center"/>
              <w:rPr>
                <w:rFonts w:ascii="Times New Roman" w:eastAsiaTheme="minorHAnsi" w:hAnsi="Times New Roman" w:cs="Times New Roman"/>
                <w:kern w:val="0"/>
                <w:szCs w:val="21"/>
              </w:rPr>
            </w:pPr>
            <w:r>
              <w:rPr>
                <w:rFonts w:ascii="Times New Roman" w:eastAsiaTheme="minorHAnsi" w:hAnsi="Times New Roman" w:cs="Times New Roman" w:hint="eastAsia"/>
                <w:kern w:val="0"/>
                <w:szCs w:val="21"/>
              </w:rPr>
              <w:t>氯气</w:t>
            </w:r>
          </w:p>
        </w:tc>
        <w:tc>
          <w:tcPr>
            <w:tcW w:w="1539" w:type="pct"/>
            <w:vAlign w:val="center"/>
          </w:tcPr>
          <w:p w:rsidR="006726DD" w:rsidRPr="00190E2F" w:rsidRDefault="00BE47FB" w:rsidP="00190E2F">
            <w:pPr>
              <w:pStyle w:val="a3"/>
              <w:ind w:firstLineChars="0" w:firstLine="0"/>
              <w:jc w:val="center"/>
              <w:rPr>
                <w:rFonts w:ascii="Times New Roman" w:eastAsiaTheme="minorHAnsi" w:hAnsi="Times New Roman" w:cs="Times New Roman"/>
                <w:kern w:val="0"/>
                <w:szCs w:val="21"/>
              </w:rPr>
            </w:pPr>
            <w:r>
              <w:rPr>
                <w:rFonts w:ascii="Times New Roman" w:eastAsiaTheme="minorHAnsi" w:hAnsi="Times New Roman" w:cs="Times New Roman" w:hint="eastAsia"/>
                <w:kern w:val="0"/>
                <w:szCs w:val="21"/>
              </w:rPr>
              <w:t>5</w:t>
            </w:r>
            <w:r>
              <w:rPr>
                <w:rFonts w:ascii="Times New Roman" w:eastAsiaTheme="minorHAnsi" w:hAnsi="Times New Roman" w:cs="Times New Roman"/>
                <w:kern w:val="0"/>
                <w:szCs w:val="21"/>
              </w:rPr>
              <w:t>800.61kg</w:t>
            </w:r>
            <w:r w:rsidR="00F848E1">
              <w:rPr>
                <w:rFonts w:ascii="Times New Roman" w:eastAsiaTheme="minorHAnsi" w:hAnsi="Times New Roman" w:cs="Times New Roman" w:hint="eastAsia"/>
                <w:kern w:val="0"/>
                <w:szCs w:val="21"/>
              </w:rPr>
              <w:t>/a</w:t>
            </w:r>
          </w:p>
        </w:tc>
        <w:tc>
          <w:tcPr>
            <w:tcW w:w="1756" w:type="pct"/>
            <w:vAlign w:val="center"/>
          </w:tcPr>
          <w:p w:rsidR="006726DD" w:rsidRPr="00190E2F" w:rsidRDefault="00BE47FB" w:rsidP="00BE47FB">
            <w:pPr>
              <w:jc w:val="center"/>
              <w:rPr>
                <w:rFonts w:ascii="Times New Roman" w:eastAsiaTheme="minorHAnsi" w:hAnsi="Times New Roman" w:cs="Times New Roman"/>
                <w:kern w:val="0"/>
                <w:szCs w:val="21"/>
              </w:rPr>
            </w:pPr>
            <w:r>
              <w:rPr>
                <w:rFonts w:ascii="Times New Roman" w:eastAsiaTheme="minorHAnsi" w:hAnsi="Times New Roman" w:cs="Times New Roman" w:hint="eastAsia"/>
                <w:kern w:val="0"/>
                <w:szCs w:val="21"/>
              </w:rPr>
              <w:t>干法刻蚀</w:t>
            </w:r>
          </w:p>
        </w:tc>
      </w:tr>
      <w:tr w:rsidR="00C91337" w:rsidRPr="00190E2F" w:rsidTr="00FA0E49">
        <w:trPr>
          <w:trHeight w:val="289"/>
          <w:jc w:val="center"/>
        </w:trPr>
        <w:tc>
          <w:tcPr>
            <w:tcW w:w="509" w:type="pct"/>
            <w:vAlign w:val="center"/>
          </w:tcPr>
          <w:p w:rsidR="00C91337" w:rsidRDefault="00F848E1" w:rsidP="00190E2F">
            <w:pPr>
              <w:pStyle w:val="a3"/>
              <w:ind w:firstLineChars="0" w:firstLine="0"/>
              <w:jc w:val="center"/>
              <w:rPr>
                <w:rFonts w:ascii="Times New Roman" w:eastAsiaTheme="minorHAnsi" w:hAnsi="Times New Roman" w:cs="Times New Roman"/>
              </w:rPr>
            </w:pPr>
            <w:r>
              <w:rPr>
                <w:rFonts w:ascii="Times New Roman" w:eastAsiaTheme="minorHAnsi" w:hAnsi="Times New Roman" w:cs="Times New Roman" w:hint="eastAsia"/>
              </w:rPr>
              <w:t>2</w:t>
            </w:r>
          </w:p>
        </w:tc>
        <w:tc>
          <w:tcPr>
            <w:tcW w:w="1195" w:type="pct"/>
            <w:vAlign w:val="center"/>
          </w:tcPr>
          <w:p w:rsidR="00C91337" w:rsidRDefault="00C91337" w:rsidP="00190E2F">
            <w:pPr>
              <w:pStyle w:val="a3"/>
              <w:ind w:firstLineChars="0" w:firstLine="0"/>
              <w:jc w:val="center"/>
              <w:rPr>
                <w:rFonts w:ascii="Times New Roman" w:eastAsiaTheme="minorHAnsi" w:hAnsi="Times New Roman" w:cs="Times New Roman"/>
                <w:kern w:val="0"/>
                <w:szCs w:val="21"/>
              </w:rPr>
            </w:pPr>
            <w:r>
              <w:rPr>
                <w:rFonts w:ascii="Times New Roman" w:eastAsiaTheme="minorHAnsi" w:hAnsi="Times New Roman" w:cs="Times New Roman" w:hint="eastAsia"/>
                <w:kern w:val="0"/>
                <w:szCs w:val="21"/>
              </w:rPr>
              <w:t>砷化氢</w:t>
            </w:r>
          </w:p>
        </w:tc>
        <w:tc>
          <w:tcPr>
            <w:tcW w:w="1539" w:type="pct"/>
            <w:vAlign w:val="center"/>
          </w:tcPr>
          <w:p w:rsidR="00C91337" w:rsidRDefault="001A7CE7" w:rsidP="00190E2F">
            <w:pPr>
              <w:pStyle w:val="a3"/>
              <w:ind w:firstLineChars="0" w:firstLine="0"/>
              <w:jc w:val="center"/>
              <w:rPr>
                <w:rFonts w:ascii="Times New Roman" w:eastAsiaTheme="minorHAnsi" w:hAnsi="Times New Roman" w:cs="Times New Roman"/>
                <w:kern w:val="0"/>
                <w:szCs w:val="21"/>
              </w:rPr>
            </w:pPr>
            <w:r>
              <w:rPr>
                <w:rFonts w:ascii="Times New Roman" w:eastAsiaTheme="minorHAnsi" w:hAnsi="Times New Roman" w:cs="Times New Roman" w:hint="eastAsia"/>
                <w:kern w:val="0"/>
                <w:szCs w:val="21"/>
              </w:rPr>
              <w:t>681.3kg</w:t>
            </w:r>
            <w:r w:rsidR="00F848E1">
              <w:rPr>
                <w:rFonts w:ascii="Times New Roman" w:eastAsiaTheme="minorHAnsi" w:hAnsi="Times New Roman" w:cs="Times New Roman" w:hint="eastAsia"/>
                <w:kern w:val="0"/>
                <w:szCs w:val="21"/>
              </w:rPr>
              <w:t>/a</w:t>
            </w:r>
          </w:p>
        </w:tc>
        <w:tc>
          <w:tcPr>
            <w:tcW w:w="1756" w:type="pct"/>
            <w:vAlign w:val="center"/>
          </w:tcPr>
          <w:p w:rsidR="00C91337" w:rsidRDefault="001A7CE7" w:rsidP="00BE47FB">
            <w:pPr>
              <w:jc w:val="center"/>
              <w:rPr>
                <w:rFonts w:ascii="Times New Roman" w:eastAsiaTheme="minorHAnsi" w:hAnsi="Times New Roman" w:cs="Times New Roman"/>
                <w:kern w:val="0"/>
                <w:szCs w:val="21"/>
              </w:rPr>
            </w:pPr>
            <w:r>
              <w:rPr>
                <w:rFonts w:ascii="Times New Roman" w:eastAsiaTheme="minorHAnsi" w:hAnsi="Times New Roman" w:cs="Times New Roman" w:hint="eastAsia"/>
                <w:kern w:val="0"/>
                <w:szCs w:val="21"/>
              </w:rPr>
              <w:t>离子注入</w:t>
            </w:r>
          </w:p>
        </w:tc>
      </w:tr>
      <w:tr w:rsidR="00F848E1" w:rsidRPr="00190E2F" w:rsidTr="00FA0E49">
        <w:trPr>
          <w:trHeight w:val="289"/>
          <w:jc w:val="center"/>
        </w:trPr>
        <w:tc>
          <w:tcPr>
            <w:tcW w:w="509" w:type="pct"/>
            <w:vAlign w:val="center"/>
          </w:tcPr>
          <w:p w:rsidR="00F848E1" w:rsidRDefault="00F848E1" w:rsidP="00190E2F">
            <w:pPr>
              <w:pStyle w:val="a3"/>
              <w:ind w:firstLineChars="0" w:firstLine="0"/>
              <w:jc w:val="center"/>
              <w:rPr>
                <w:rFonts w:ascii="Times New Roman" w:eastAsiaTheme="minorHAnsi" w:hAnsi="Times New Roman" w:cs="Times New Roman"/>
              </w:rPr>
            </w:pPr>
            <w:r>
              <w:rPr>
                <w:rFonts w:ascii="Times New Roman" w:eastAsiaTheme="minorHAnsi" w:hAnsi="Times New Roman" w:cs="Times New Roman" w:hint="eastAsia"/>
              </w:rPr>
              <w:t>3</w:t>
            </w:r>
          </w:p>
        </w:tc>
        <w:tc>
          <w:tcPr>
            <w:tcW w:w="1195" w:type="pct"/>
            <w:vAlign w:val="center"/>
          </w:tcPr>
          <w:p w:rsidR="00F848E1" w:rsidRDefault="00F848E1" w:rsidP="00F848E1">
            <w:pPr>
              <w:pStyle w:val="a3"/>
              <w:ind w:firstLineChars="0" w:firstLine="0"/>
              <w:jc w:val="center"/>
              <w:rPr>
                <w:rFonts w:ascii="Times New Roman" w:eastAsiaTheme="minorHAnsi" w:hAnsi="Times New Roman" w:cs="Times New Roman"/>
                <w:kern w:val="0"/>
                <w:szCs w:val="21"/>
              </w:rPr>
            </w:pPr>
            <w:proofErr w:type="gramStart"/>
            <w:r>
              <w:rPr>
                <w:rFonts w:ascii="Times New Roman" w:eastAsiaTheme="minorHAnsi" w:hAnsi="Times New Roman" w:cs="Times New Roman" w:hint="eastAsia"/>
                <w:kern w:val="0"/>
                <w:szCs w:val="21"/>
              </w:rPr>
              <w:t>磷烷</w:t>
            </w:r>
            <w:proofErr w:type="gramEnd"/>
          </w:p>
        </w:tc>
        <w:tc>
          <w:tcPr>
            <w:tcW w:w="1539" w:type="pct"/>
            <w:vAlign w:val="center"/>
          </w:tcPr>
          <w:p w:rsidR="00F848E1" w:rsidRDefault="00981F4A" w:rsidP="00190E2F">
            <w:pPr>
              <w:pStyle w:val="a3"/>
              <w:ind w:firstLineChars="0" w:firstLine="0"/>
              <w:jc w:val="center"/>
              <w:rPr>
                <w:rFonts w:ascii="Times New Roman" w:eastAsiaTheme="minorHAnsi" w:hAnsi="Times New Roman" w:cs="Times New Roman"/>
                <w:kern w:val="0"/>
                <w:szCs w:val="21"/>
              </w:rPr>
            </w:pPr>
            <w:r>
              <w:rPr>
                <w:rFonts w:ascii="Times New Roman" w:eastAsiaTheme="minorHAnsi" w:hAnsi="Times New Roman" w:cs="Times New Roman"/>
                <w:kern w:val="0"/>
                <w:szCs w:val="21"/>
              </w:rPr>
              <w:t>43.03</w:t>
            </w:r>
            <w:r w:rsidR="00F848E1">
              <w:rPr>
                <w:rFonts w:ascii="Times New Roman" w:eastAsiaTheme="minorHAnsi" w:hAnsi="Times New Roman" w:cs="Times New Roman" w:hint="eastAsia"/>
                <w:kern w:val="0"/>
                <w:szCs w:val="21"/>
              </w:rPr>
              <w:t>kg/a</w:t>
            </w:r>
          </w:p>
        </w:tc>
        <w:tc>
          <w:tcPr>
            <w:tcW w:w="1756" w:type="pct"/>
            <w:vAlign w:val="center"/>
          </w:tcPr>
          <w:p w:rsidR="00F848E1" w:rsidRDefault="00BD5095" w:rsidP="00BE47FB">
            <w:pPr>
              <w:jc w:val="center"/>
              <w:rPr>
                <w:rFonts w:ascii="Times New Roman" w:eastAsiaTheme="minorHAnsi" w:hAnsi="Times New Roman" w:cs="Times New Roman"/>
                <w:kern w:val="0"/>
                <w:szCs w:val="21"/>
              </w:rPr>
            </w:pPr>
            <w:r>
              <w:rPr>
                <w:rFonts w:ascii="Times New Roman" w:eastAsiaTheme="minorHAnsi" w:hAnsi="Times New Roman" w:cs="Times New Roman" w:hint="eastAsia"/>
                <w:kern w:val="0"/>
                <w:szCs w:val="21"/>
              </w:rPr>
              <w:t>离子注入</w:t>
            </w:r>
          </w:p>
        </w:tc>
      </w:tr>
    </w:tbl>
    <w:p w:rsidR="004F60BB" w:rsidRDefault="004F60BB" w:rsidP="004F60BB">
      <w:pPr>
        <w:pStyle w:val="a3"/>
        <w:ind w:left="420" w:firstLineChars="0" w:firstLine="0"/>
      </w:pPr>
    </w:p>
    <w:p w:rsidR="004F60BB" w:rsidRDefault="004F60BB" w:rsidP="004F60BB">
      <w:pPr>
        <w:pStyle w:val="a3"/>
        <w:numPr>
          <w:ilvl w:val="0"/>
          <w:numId w:val="1"/>
        </w:numPr>
        <w:ind w:firstLineChars="0"/>
        <w:rPr>
          <w:b/>
          <w:sz w:val="24"/>
        </w:rPr>
      </w:pPr>
      <w:r w:rsidRPr="00745A71">
        <w:rPr>
          <w:rFonts w:hint="eastAsia"/>
          <w:b/>
          <w:sz w:val="24"/>
        </w:rPr>
        <w:t>排放有毒有害物质名称、浓度和数量</w:t>
      </w:r>
    </w:p>
    <w:tbl>
      <w:tblPr>
        <w:tblStyle w:val="a4"/>
        <w:tblW w:w="5000" w:type="pct"/>
        <w:jc w:val="center"/>
        <w:tblLook w:val="04A0" w:firstRow="1" w:lastRow="0" w:firstColumn="1" w:lastColumn="0" w:noHBand="0" w:noVBand="1"/>
      </w:tblPr>
      <w:tblGrid>
        <w:gridCol w:w="1104"/>
        <w:gridCol w:w="2558"/>
        <w:gridCol w:w="2439"/>
        <w:gridCol w:w="2195"/>
      </w:tblGrid>
      <w:tr w:rsidR="00D84F46" w:rsidRPr="00190E2F" w:rsidTr="00FA0E49">
        <w:trPr>
          <w:trHeight w:val="275"/>
          <w:jc w:val="center"/>
        </w:trPr>
        <w:tc>
          <w:tcPr>
            <w:tcW w:w="665" w:type="pct"/>
            <w:vAlign w:val="center"/>
          </w:tcPr>
          <w:p w:rsidR="00D84F46" w:rsidRPr="00190E2F" w:rsidRDefault="00D84F46" w:rsidP="00C3229B">
            <w:pPr>
              <w:pStyle w:val="a3"/>
              <w:ind w:firstLineChars="0" w:firstLine="0"/>
              <w:jc w:val="center"/>
              <w:rPr>
                <w:rFonts w:ascii="Times New Roman" w:eastAsiaTheme="minorHAnsi" w:hAnsi="Times New Roman" w:cs="Times New Roman"/>
              </w:rPr>
            </w:pPr>
            <w:r w:rsidRPr="00190E2F">
              <w:rPr>
                <w:rFonts w:ascii="Times New Roman" w:eastAsiaTheme="minorHAnsi" w:hAnsi="Times New Roman" w:cs="Times New Roman"/>
              </w:rPr>
              <w:t>序号</w:t>
            </w:r>
          </w:p>
        </w:tc>
        <w:tc>
          <w:tcPr>
            <w:tcW w:w="1542" w:type="pct"/>
            <w:vAlign w:val="center"/>
          </w:tcPr>
          <w:p w:rsidR="00D84F46" w:rsidRPr="00190E2F" w:rsidRDefault="00D84F46" w:rsidP="00C3229B">
            <w:pPr>
              <w:pStyle w:val="a3"/>
              <w:ind w:firstLineChars="0" w:firstLine="0"/>
              <w:jc w:val="center"/>
              <w:rPr>
                <w:rFonts w:ascii="Times New Roman" w:eastAsiaTheme="minorHAnsi" w:hAnsi="Times New Roman" w:cs="Times New Roman"/>
              </w:rPr>
            </w:pPr>
            <w:r w:rsidRPr="00190E2F">
              <w:rPr>
                <w:rFonts w:ascii="Times New Roman" w:eastAsiaTheme="minorHAnsi" w:hAnsi="Times New Roman" w:cs="Times New Roman"/>
              </w:rPr>
              <w:t>物料名称</w:t>
            </w:r>
          </w:p>
        </w:tc>
        <w:tc>
          <w:tcPr>
            <w:tcW w:w="1470" w:type="pct"/>
            <w:vAlign w:val="center"/>
          </w:tcPr>
          <w:p w:rsidR="00D84F46" w:rsidRPr="00190E2F" w:rsidRDefault="00D84F46" w:rsidP="00C3229B">
            <w:pPr>
              <w:pStyle w:val="a3"/>
              <w:ind w:firstLineChars="0" w:firstLine="0"/>
              <w:jc w:val="center"/>
              <w:rPr>
                <w:rFonts w:ascii="Times New Roman" w:eastAsiaTheme="minorHAnsi" w:hAnsi="Times New Roman" w:cs="Times New Roman"/>
              </w:rPr>
            </w:pPr>
            <w:r w:rsidRPr="00D84F46">
              <w:rPr>
                <w:rFonts w:ascii="Times New Roman" w:eastAsiaTheme="minorHAnsi" w:hAnsi="Times New Roman" w:cs="Times New Roman" w:hint="eastAsia"/>
              </w:rPr>
              <w:t>浓度</w:t>
            </w:r>
          </w:p>
        </w:tc>
        <w:tc>
          <w:tcPr>
            <w:tcW w:w="1323" w:type="pct"/>
            <w:vAlign w:val="center"/>
          </w:tcPr>
          <w:p w:rsidR="00D84F46" w:rsidRPr="00190E2F" w:rsidRDefault="00D84F46" w:rsidP="00C3229B">
            <w:pPr>
              <w:pStyle w:val="a3"/>
              <w:ind w:firstLineChars="0" w:firstLine="0"/>
              <w:jc w:val="center"/>
              <w:rPr>
                <w:rFonts w:ascii="Times New Roman" w:eastAsiaTheme="minorHAnsi" w:hAnsi="Times New Roman" w:cs="Times New Roman"/>
              </w:rPr>
            </w:pPr>
            <w:r w:rsidRPr="00D84F46">
              <w:rPr>
                <w:rFonts w:ascii="Times New Roman" w:eastAsiaTheme="minorHAnsi" w:hAnsi="Times New Roman" w:cs="Times New Roman" w:hint="eastAsia"/>
              </w:rPr>
              <w:t>数量</w:t>
            </w:r>
            <w:r>
              <w:rPr>
                <w:rFonts w:ascii="Times New Roman" w:eastAsiaTheme="minorHAnsi" w:hAnsi="Times New Roman" w:cs="Times New Roman" w:hint="eastAsia"/>
              </w:rPr>
              <w:t>（</w:t>
            </w:r>
            <w:r>
              <w:rPr>
                <w:rFonts w:ascii="Times New Roman" w:eastAsiaTheme="minorHAnsi" w:hAnsi="Times New Roman" w:cs="Times New Roman" w:hint="eastAsia"/>
              </w:rPr>
              <w:t>t/a</w:t>
            </w:r>
            <w:r>
              <w:rPr>
                <w:rFonts w:ascii="Times New Roman" w:eastAsiaTheme="minorHAnsi" w:hAnsi="Times New Roman" w:cs="Times New Roman" w:hint="eastAsia"/>
              </w:rPr>
              <w:t>）</w:t>
            </w:r>
          </w:p>
        </w:tc>
      </w:tr>
      <w:tr w:rsidR="00D84F46" w:rsidRPr="00190E2F" w:rsidTr="00FA0E49">
        <w:trPr>
          <w:trHeight w:val="289"/>
          <w:jc w:val="center"/>
        </w:trPr>
        <w:tc>
          <w:tcPr>
            <w:tcW w:w="665" w:type="pct"/>
            <w:vAlign w:val="center"/>
          </w:tcPr>
          <w:p w:rsidR="00D84F46" w:rsidRPr="00190E2F" w:rsidRDefault="00D84F46" w:rsidP="00C3229B">
            <w:pPr>
              <w:pStyle w:val="a3"/>
              <w:ind w:firstLineChars="0" w:firstLine="0"/>
              <w:jc w:val="center"/>
              <w:rPr>
                <w:rFonts w:ascii="Times New Roman" w:eastAsiaTheme="minorHAnsi" w:hAnsi="Times New Roman" w:cs="Times New Roman"/>
              </w:rPr>
            </w:pPr>
            <w:r w:rsidRPr="00190E2F">
              <w:rPr>
                <w:rFonts w:ascii="Times New Roman" w:eastAsiaTheme="minorHAnsi" w:hAnsi="Times New Roman" w:cs="Times New Roman"/>
              </w:rPr>
              <w:t>1</w:t>
            </w:r>
          </w:p>
        </w:tc>
        <w:tc>
          <w:tcPr>
            <w:tcW w:w="1542" w:type="pct"/>
            <w:vAlign w:val="center"/>
          </w:tcPr>
          <w:p w:rsidR="00D84F46" w:rsidRPr="00190E2F" w:rsidRDefault="00D84F46" w:rsidP="00C3229B">
            <w:pPr>
              <w:autoSpaceDE w:val="0"/>
              <w:autoSpaceDN w:val="0"/>
              <w:adjustRightInd w:val="0"/>
              <w:jc w:val="center"/>
              <w:rPr>
                <w:rFonts w:ascii="Times New Roman" w:eastAsiaTheme="minorHAnsi" w:hAnsi="Times New Roman" w:cs="Times New Roman"/>
                <w:kern w:val="0"/>
                <w:szCs w:val="21"/>
              </w:rPr>
            </w:pPr>
            <w:r>
              <w:rPr>
                <w:rFonts w:ascii="Times New Roman" w:eastAsiaTheme="minorHAnsi" w:hAnsi="Times New Roman" w:cs="Times New Roman" w:hint="eastAsia"/>
                <w:kern w:val="0"/>
                <w:szCs w:val="21"/>
              </w:rPr>
              <w:t>氯气</w:t>
            </w:r>
          </w:p>
        </w:tc>
        <w:tc>
          <w:tcPr>
            <w:tcW w:w="1470" w:type="pct"/>
            <w:vAlign w:val="center"/>
          </w:tcPr>
          <w:p w:rsidR="00D84F46" w:rsidRPr="00190E2F" w:rsidRDefault="00D84F46" w:rsidP="00C3229B">
            <w:pPr>
              <w:pStyle w:val="a3"/>
              <w:ind w:firstLineChars="0" w:firstLine="0"/>
              <w:jc w:val="center"/>
              <w:rPr>
                <w:rFonts w:ascii="Times New Roman" w:eastAsiaTheme="minorHAnsi" w:hAnsi="Times New Roman" w:cs="Times New Roman"/>
              </w:rPr>
            </w:pPr>
            <w:r>
              <w:rPr>
                <w:rFonts w:ascii="Times New Roman" w:eastAsiaTheme="minorHAnsi" w:hAnsi="Times New Roman" w:cs="Times New Roman" w:hint="eastAsia"/>
              </w:rPr>
              <w:t>2.7 mg/m</w:t>
            </w:r>
            <w:r w:rsidRPr="00D84F46">
              <w:rPr>
                <w:rFonts w:ascii="Times New Roman" w:eastAsiaTheme="minorHAnsi" w:hAnsi="Times New Roman" w:cs="Times New Roman" w:hint="eastAsia"/>
                <w:vertAlign w:val="superscript"/>
              </w:rPr>
              <w:t>3</w:t>
            </w:r>
          </w:p>
        </w:tc>
        <w:tc>
          <w:tcPr>
            <w:tcW w:w="1323" w:type="pct"/>
            <w:vAlign w:val="center"/>
          </w:tcPr>
          <w:p w:rsidR="00D84F46" w:rsidRPr="00190E2F" w:rsidRDefault="00D84F46" w:rsidP="00C3229B">
            <w:pPr>
              <w:autoSpaceDE w:val="0"/>
              <w:autoSpaceDN w:val="0"/>
              <w:adjustRightInd w:val="0"/>
              <w:jc w:val="center"/>
              <w:rPr>
                <w:rFonts w:ascii="Times New Roman" w:eastAsiaTheme="minorHAnsi" w:hAnsi="Times New Roman" w:cs="Times New Roman"/>
                <w:kern w:val="0"/>
                <w:szCs w:val="21"/>
              </w:rPr>
            </w:pPr>
            <w:r>
              <w:rPr>
                <w:rFonts w:ascii="Times New Roman" w:eastAsiaTheme="minorHAnsi" w:hAnsi="Times New Roman" w:cs="Times New Roman" w:hint="eastAsia"/>
                <w:kern w:val="0"/>
                <w:szCs w:val="21"/>
              </w:rPr>
              <w:t>1.48</w:t>
            </w:r>
          </w:p>
        </w:tc>
      </w:tr>
      <w:tr w:rsidR="00D84F46" w:rsidRPr="00190E2F" w:rsidTr="00FA0E49">
        <w:trPr>
          <w:trHeight w:val="275"/>
          <w:jc w:val="center"/>
        </w:trPr>
        <w:tc>
          <w:tcPr>
            <w:tcW w:w="665" w:type="pct"/>
            <w:vAlign w:val="center"/>
          </w:tcPr>
          <w:p w:rsidR="00D84F46" w:rsidRPr="00190E2F" w:rsidRDefault="00D84F46" w:rsidP="00C3229B">
            <w:pPr>
              <w:pStyle w:val="a3"/>
              <w:ind w:firstLineChars="0" w:firstLine="0"/>
              <w:jc w:val="center"/>
              <w:rPr>
                <w:rFonts w:ascii="Times New Roman" w:eastAsiaTheme="minorHAnsi" w:hAnsi="Times New Roman" w:cs="Times New Roman"/>
              </w:rPr>
            </w:pPr>
            <w:r w:rsidRPr="00190E2F">
              <w:rPr>
                <w:rFonts w:ascii="Times New Roman" w:eastAsiaTheme="minorHAnsi" w:hAnsi="Times New Roman" w:cs="Times New Roman"/>
              </w:rPr>
              <w:t>2</w:t>
            </w:r>
          </w:p>
        </w:tc>
        <w:tc>
          <w:tcPr>
            <w:tcW w:w="1542" w:type="pct"/>
            <w:vAlign w:val="center"/>
          </w:tcPr>
          <w:p w:rsidR="00D84F46" w:rsidRPr="00190E2F" w:rsidRDefault="00D84F46" w:rsidP="00C3229B">
            <w:pPr>
              <w:pStyle w:val="a3"/>
              <w:ind w:firstLineChars="0" w:firstLine="0"/>
              <w:jc w:val="center"/>
              <w:rPr>
                <w:rFonts w:ascii="Times New Roman" w:eastAsiaTheme="minorHAnsi" w:hAnsi="Times New Roman" w:cs="Times New Roman"/>
              </w:rPr>
            </w:pPr>
            <w:proofErr w:type="gramStart"/>
            <w:r>
              <w:rPr>
                <w:rFonts w:ascii="Times New Roman" w:eastAsiaTheme="minorHAnsi" w:hAnsi="Times New Roman" w:cs="Times New Roman" w:hint="eastAsia"/>
              </w:rPr>
              <w:t>砷</w:t>
            </w:r>
            <w:proofErr w:type="gramEnd"/>
            <w:r>
              <w:rPr>
                <w:rFonts w:ascii="Times New Roman" w:eastAsiaTheme="minorHAnsi" w:hAnsi="Times New Roman" w:cs="Times New Roman" w:hint="eastAsia"/>
              </w:rPr>
              <w:t>及其化合物</w:t>
            </w:r>
          </w:p>
        </w:tc>
        <w:tc>
          <w:tcPr>
            <w:tcW w:w="1470" w:type="pct"/>
            <w:vAlign w:val="center"/>
          </w:tcPr>
          <w:p w:rsidR="00D84F46" w:rsidRPr="00190E2F" w:rsidRDefault="00D84F46" w:rsidP="00C3229B">
            <w:pPr>
              <w:pStyle w:val="a3"/>
              <w:ind w:firstLineChars="0" w:firstLine="0"/>
              <w:jc w:val="center"/>
              <w:rPr>
                <w:rFonts w:ascii="Times New Roman" w:eastAsiaTheme="minorHAnsi" w:hAnsi="Times New Roman" w:cs="Times New Roman"/>
              </w:rPr>
            </w:pPr>
            <w:r>
              <w:rPr>
                <w:rFonts w:ascii="Times New Roman" w:eastAsiaTheme="minorHAnsi" w:hAnsi="Times New Roman" w:cs="Times New Roman" w:hint="eastAsia"/>
              </w:rPr>
              <w:t>0.0056 mg/m</w:t>
            </w:r>
            <w:r w:rsidRPr="00D84F46">
              <w:rPr>
                <w:rFonts w:ascii="Times New Roman" w:eastAsiaTheme="minorHAnsi" w:hAnsi="Times New Roman" w:cs="Times New Roman" w:hint="eastAsia"/>
                <w:vertAlign w:val="superscript"/>
              </w:rPr>
              <w:t>3</w:t>
            </w:r>
          </w:p>
        </w:tc>
        <w:tc>
          <w:tcPr>
            <w:tcW w:w="1323" w:type="pct"/>
            <w:vAlign w:val="center"/>
          </w:tcPr>
          <w:p w:rsidR="00D84F46" w:rsidRPr="00190E2F" w:rsidRDefault="00D84F46" w:rsidP="00C3229B">
            <w:pPr>
              <w:jc w:val="center"/>
              <w:rPr>
                <w:rFonts w:ascii="Times New Roman" w:eastAsiaTheme="minorHAnsi" w:hAnsi="Times New Roman" w:cs="Times New Roman"/>
              </w:rPr>
            </w:pPr>
            <w:r>
              <w:rPr>
                <w:rFonts w:ascii="Times New Roman" w:eastAsiaTheme="minorHAnsi" w:hAnsi="Times New Roman" w:cs="Times New Roman" w:hint="eastAsia"/>
              </w:rPr>
              <w:t>0.0022</w:t>
            </w:r>
          </w:p>
        </w:tc>
      </w:tr>
      <w:tr w:rsidR="00936C9B" w:rsidRPr="00190E2F" w:rsidTr="00FA0E49">
        <w:trPr>
          <w:trHeight w:val="275"/>
          <w:jc w:val="center"/>
        </w:trPr>
        <w:tc>
          <w:tcPr>
            <w:tcW w:w="665" w:type="pct"/>
            <w:vAlign w:val="center"/>
          </w:tcPr>
          <w:p w:rsidR="00936C9B" w:rsidRPr="00190E2F" w:rsidRDefault="00936C9B" w:rsidP="00C3229B">
            <w:pPr>
              <w:pStyle w:val="a3"/>
              <w:ind w:firstLineChars="0" w:firstLine="0"/>
              <w:jc w:val="center"/>
              <w:rPr>
                <w:rFonts w:ascii="Times New Roman" w:eastAsiaTheme="minorHAnsi" w:hAnsi="Times New Roman" w:cs="Times New Roman"/>
              </w:rPr>
            </w:pPr>
            <w:r>
              <w:rPr>
                <w:rFonts w:ascii="Times New Roman" w:eastAsiaTheme="minorHAnsi" w:hAnsi="Times New Roman" w:cs="Times New Roman" w:hint="eastAsia"/>
              </w:rPr>
              <w:t>3</w:t>
            </w:r>
          </w:p>
        </w:tc>
        <w:tc>
          <w:tcPr>
            <w:tcW w:w="1542" w:type="pct"/>
            <w:vAlign w:val="center"/>
          </w:tcPr>
          <w:p w:rsidR="00936C9B" w:rsidRDefault="00936C9B" w:rsidP="00C3229B">
            <w:pPr>
              <w:pStyle w:val="a3"/>
              <w:ind w:firstLineChars="0" w:firstLine="0"/>
              <w:jc w:val="center"/>
              <w:rPr>
                <w:rFonts w:ascii="Times New Roman" w:eastAsiaTheme="minorHAnsi" w:hAnsi="Times New Roman" w:cs="Times New Roman"/>
              </w:rPr>
            </w:pPr>
            <w:proofErr w:type="gramStart"/>
            <w:r>
              <w:rPr>
                <w:rFonts w:ascii="Times New Roman" w:eastAsiaTheme="minorHAnsi" w:hAnsi="Times New Roman" w:cs="Times New Roman" w:hint="eastAsia"/>
              </w:rPr>
              <w:t>磷烷</w:t>
            </w:r>
            <w:proofErr w:type="gramEnd"/>
          </w:p>
        </w:tc>
        <w:tc>
          <w:tcPr>
            <w:tcW w:w="1470" w:type="pct"/>
            <w:vAlign w:val="center"/>
          </w:tcPr>
          <w:p w:rsidR="00936C9B" w:rsidRDefault="00936C9B" w:rsidP="00C3229B">
            <w:pPr>
              <w:pStyle w:val="a3"/>
              <w:ind w:firstLineChars="0" w:firstLine="0"/>
              <w:jc w:val="center"/>
              <w:rPr>
                <w:rFonts w:ascii="Times New Roman" w:eastAsiaTheme="minorHAnsi" w:hAnsi="Times New Roman" w:cs="Times New Roman"/>
              </w:rPr>
            </w:pPr>
            <w:r>
              <w:rPr>
                <w:rFonts w:ascii="Times New Roman" w:eastAsiaTheme="minorHAnsi" w:hAnsi="Times New Roman" w:cs="Times New Roman" w:hint="eastAsia"/>
              </w:rPr>
              <w:t>/</w:t>
            </w:r>
          </w:p>
        </w:tc>
        <w:tc>
          <w:tcPr>
            <w:tcW w:w="1323" w:type="pct"/>
            <w:vAlign w:val="center"/>
          </w:tcPr>
          <w:p w:rsidR="00936C9B" w:rsidRDefault="00936C9B" w:rsidP="00C3229B">
            <w:pPr>
              <w:jc w:val="center"/>
              <w:rPr>
                <w:rFonts w:ascii="Times New Roman" w:eastAsiaTheme="minorHAnsi" w:hAnsi="Times New Roman" w:cs="Times New Roman"/>
              </w:rPr>
            </w:pPr>
            <w:r w:rsidRPr="00936C9B">
              <w:rPr>
                <w:rFonts w:ascii="Times New Roman" w:eastAsiaTheme="minorHAnsi" w:hAnsi="Times New Roman" w:cs="Times New Roman"/>
              </w:rPr>
              <w:t>0.0075</w:t>
            </w:r>
          </w:p>
        </w:tc>
      </w:tr>
    </w:tbl>
    <w:p w:rsidR="00190E2F" w:rsidRPr="00D84F46" w:rsidRDefault="00190E2F" w:rsidP="00D84F46">
      <w:pPr>
        <w:rPr>
          <w:b/>
          <w:sz w:val="24"/>
        </w:rPr>
      </w:pPr>
    </w:p>
    <w:p w:rsidR="004F60BB" w:rsidRDefault="004F60BB" w:rsidP="004F60BB">
      <w:pPr>
        <w:pStyle w:val="a3"/>
        <w:numPr>
          <w:ilvl w:val="0"/>
          <w:numId w:val="1"/>
        </w:numPr>
        <w:ind w:firstLineChars="0"/>
        <w:rPr>
          <w:b/>
          <w:sz w:val="24"/>
        </w:rPr>
      </w:pPr>
      <w:r w:rsidRPr="00745A71">
        <w:rPr>
          <w:rFonts w:hint="eastAsia"/>
          <w:b/>
          <w:sz w:val="24"/>
        </w:rPr>
        <w:t>危险废物产生和处置情况</w:t>
      </w:r>
    </w:p>
    <w:tbl>
      <w:tblPr>
        <w:tblStyle w:val="a4"/>
        <w:tblW w:w="7772" w:type="dxa"/>
        <w:jc w:val="center"/>
        <w:tblLook w:val="04A0" w:firstRow="1" w:lastRow="0" w:firstColumn="1" w:lastColumn="0" w:noHBand="0" w:noVBand="1"/>
      </w:tblPr>
      <w:tblGrid>
        <w:gridCol w:w="1271"/>
        <w:gridCol w:w="3260"/>
        <w:gridCol w:w="1560"/>
        <w:gridCol w:w="1681"/>
      </w:tblGrid>
      <w:tr w:rsidR="00190E2F" w:rsidRPr="00FE3410" w:rsidTr="00FA0E49">
        <w:trPr>
          <w:trHeight w:val="99"/>
          <w:jc w:val="center"/>
        </w:trPr>
        <w:tc>
          <w:tcPr>
            <w:tcW w:w="1271" w:type="dxa"/>
            <w:vAlign w:val="center"/>
          </w:tcPr>
          <w:p w:rsidR="00190E2F" w:rsidRPr="00FE3410" w:rsidRDefault="00190E2F" w:rsidP="00FA0E49">
            <w:pPr>
              <w:pStyle w:val="a3"/>
              <w:ind w:firstLineChars="0" w:firstLine="0"/>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序号</w:t>
            </w:r>
          </w:p>
        </w:tc>
        <w:tc>
          <w:tcPr>
            <w:tcW w:w="3260" w:type="dxa"/>
            <w:vAlign w:val="center"/>
          </w:tcPr>
          <w:p w:rsidR="00190E2F" w:rsidRPr="00FE3410" w:rsidRDefault="00190E2F" w:rsidP="00FA0E49">
            <w:pPr>
              <w:pStyle w:val="a3"/>
              <w:ind w:firstLineChars="0" w:firstLine="0"/>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危险废物名称</w:t>
            </w:r>
          </w:p>
        </w:tc>
        <w:tc>
          <w:tcPr>
            <w:tcW w:w="1560" w:type="dxa"/>
            <w:vAlign w:val="center"/>
          </w:tcPr>
          <w:p w:rsidR="00190E2F" w:rsidRPr="00FE3410" w:rsidRDefault="00190E2F" w:rsidP="00FA0E49">
            <w:pPr>
              <w:pStyle w:val="a3"/>
              <w:ind w:firstLineChars="0" w:firstLine="0"/>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年产生量</w:t>
            </w:r>
            <w:r w:rsidR="00F848E1">
              <w:rPr>
                <w:rFonts w:ascii="Times New Roman" w:eastAsiaTheme="minorHAnsi" w:hAnsi="Times New Roman" w:cs="Times New Roman" w:hint="eastAsia"/>
                <w:szCs w:val="21"/>
              </w:rPr>
              <w:t>（</w:t>
            </w:r>
            <w:r w:rsidR="00F848E1">
              <w:rPr>
                <w:rFonts w:ascii="Times New Roman" w:eastAsiaTheme="minorHAnsi" w:hAnsi="Times New Roman" w:cs="Times New Roman" w:hint="eastAsia"/>
                <w:szCs w:val="21"/>
              </w:rPr>
              <w:t>t/a</w:t>
            </w:r>
            <w:r w:rsidR="00F848E1">
              <w:rPr>
                <w:rFonts w:ascii="Times New Roman" w:eastAsiaTheme="minorHAnsi" w:hAnsi="Times New Roman" w:cs="Times New Roman" w:hint="eastAsia"/>
                <w:szCs w:val="21"/>
              </w:rPr>
              <w:t>）</w:t>
            </w:r>
          </w:p>
        </w:tc>
        <w:tc>
          <w:tcPr>
            <w:tcW w:w="1681" w:type="dxa"/>
            <w:vAlign w:val="center"/>
          </w:tcPr>
          <w:p w:rsidR="00190E2F" w:rsidRPr="00FE3410" w:rsidRDefault="00190E2F" w:rsidP="00FA0E49">
            <w:pPr>
              <w:pStyle w:val="a3"/>
              <w:ind w:firstLineChars="0" w:firstLine="0"/>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处置情况</w:t>
            </w:r>
          </w:p>
        </w:tc>
      </w:tr>
      <w:tr w:rsidR="00190E2F" w:rsidRPr="00FE3410" w:rsidTr="00FA0E49">
        <w:trPr>
          <w:trHeight w:val="102"/>
          <w:jc w:val="center"/>
        </w:trPr>
        <w:tc>
          <w:tcPr>
            <w:tcW w:w="1271" w:type="dxa"/>
            <w:vAlign w:val="center"/>
          </w:tcPr>
          <w:p w:rsidR="00190E2F" w:rsidRPr="00FE3410" w:rsidRDefault="00190E2F" w:rsidP="00FA0E49">
            <w:pPr>
              <w:widowControl/>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1</w:t>
            </w:r>
          </w:p>
        </w:tc>
        <w:tc>
          <w:tcPr>
            <w:tcW w:w="3260" w:type="dxa"/>
            <w:vAlign w:val="center"/>
          </w:tcPr>
          <w:p w:rsidR="00190E2F" w:rsidRPr="00FE3410" w:rsidRDefault="00190E2F" w:rsidP="00FA0E49">
            <w:pPr>
              <w:widowControl/>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废酸</w:t>
            </w:r>
          </w:p>
        </w:tc>
        <w:tc>
          <w:tcPr>
            <w:tcW w:w="1560" w:type="dxa"/>
            <w:vAlign w:val="center"/>
          </w:tcPr>
          <w:p w:rsidR="00190E2F" w:rsidRPr="00FE3410" w:rsidRDefault="00190E2F" w:rsidP="00FA0E49">
            <w:pPr>
              <w:widowControl/>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3049</w:t>
            </w:r>
          </w:p>
        </w:tc>
        <w:tc>
          <w:tcPr>
            <w:tcW w:w="1681" w:type="dxa"/>
            <w:vAlign w:val="center"/>
          </w:tcPr>
          <w:p w:rsidR="00190E2F" w:rsidRPr="00FE3410" w:rsidRDefault="00190E2F" w:rsidP="00FA0E49">
            <w:pPr>
              <w:pStyle w:val="a3"/>
              <w:ind w:firstLineChars="0" w:firstLine="0"/>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190E2F" w:rsidRPr="00FE3410" w:rsidTr="00FA0E49">
        <w:trPr>
          <w:trHeight w:val="99"/>
          <w:jc w:val="center"/>
        </w:trPr>
        <w:tc>
          <w:tcPr>
            <w:tcW w:w="127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2</w:t>
            </w:r>
          </w:p>
        </w:tc>
        <w:tc>
          <w:tcPr>
            <w:tcW w:w="3260" w:type="dxa"/>
            <w:vAlign w:val="center"/>
          </w:tcPr>
          <w:p w:rsidR="00190E2F" w:rsidRPr="00FE3410" w:rsidRDefault="00190E2F" w:rsidP="00FA0E49">
            <w:pPr>
              <w:jc w:val="center"/>
              <w:rPr>
                <w:rFonts w:ascii="Times New Roman" w:eastAsiaTheme="minorHAnsi" w:hAnsi="Times New Roman" w:cs="Times New Roman"/>
                <w:szCs w:val="21"/>
              </w:rPr>
            </w:pPr>
            <w:proofErr w:type="gramStart"/>
            <w:r w:rsidRPr="00FE3410">
              <w:rPr>
                <w:rFonts w:ascii="Times New Roman" w:eastAsiaTheme="minorHAnsi" w:hAnsi="Times New Roman" w:cs="Times New Roman"/>
                <w:szCs w:val="21"/>
              </w:rPr>
              <w:t>混酸</w:t>
            </w:r>
            <w:proofErr w:type="gramEnd"/>
          </w:p>
        </w:tc>
        <w:tc>
          <w:tcPr>
            <w:tcW w:w="15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1794</w:t>
            </w:r>
          </w:p>
        </w:tc>
        <w:tc>
          <w:tcPr>
            <w:tcW w:w="168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190E2F" w:rsidRPr="00FE3410" w:rsidTr="00FA0E49">
        <w:trPr>
          <w:trHeight w:val="99"/>
          <w:jc w:val="center"/>
        </w:trPr>
        <w:tc>
          <w:tcPr>
            <w:tcW w:w="127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3</w:t>
            </w:r>
          </w:p>
        </w:tc>
        <w:tc>
          <w:tcPr>
            <w:tcW w:w="32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废有机溶剂</w:t>
            </w:r>
          </w:p>
        </w:tc>
        <w:tc>
          <w:tcPr>
            <w:tcW w:w="15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2966</w:t>
            </w:r>
          </w:p>
        </w:tc>
        <w:tc>
          <w:tcPr>
            <w:tcW w:w="168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190E2F" w:rsidRPr="00FE3410" w:rsidTr="00FA0E49">
        <w:trPr>
          <w:trHeight w:val="99"/>
          <w:jc w:val="center"/>
        </w:trPr>
        <w:tc>
          <w:tcPr>
            <w:tcW w:w="127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4</w:t>
            </w:r>
          </w:p>
        </w:tc>
        <w:tc>
          <w:tcPr>
            <w:tcW w:w="32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废硫酸铵</w:t>
            </w:r>
          </w:p>
        </w:tc>
        <w:tc>
          <w:tcPr>
            <w:tcW w:w="15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900</w:t>
            </w:r>
          </w:p>
        </w:tc>
        <w:tc>
          <w:tcPr>
            <w:tcW w:w="168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190E2F" w:rsidRPr="00FE3410" w:rsidTr="00FA0E49">
        <w:trPr>
          <w:trHeight w:val="102"/>
          <w:jc w:val="center"/>
        </w:trPr>
        <w:tc>
          <w:tcPr>
            <w:tcW w:w="127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5</w:t>
            </w:r>
          </w:p>
        </w:tc>
        <w:tc>
          <w:tcPr>
            <w:tcW w:w="32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含铬废液</w:t>
            </w:r>
          </w:p>
        </w:tc>
        <w:tc>
          <w:tcPr>
            <w:tcW w:w="15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43</w:t>
            </w:r>
          </w:p>
        </w:tc>
        <w:tc>
          <w:tcPr>
            <w:tcW w:w="168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190E2F" w:rsidRPr="00FE3410" w:rsidTr="00FA0E49">
        <w:trPr>
          <w:trHeight w:val="99"/>
          <w:jc w:val="center"/>
        </w:trPr>
        <w:tc>
          <w:tcPr>
            <w:tcW w:w="127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6</w:t>
            </w:r>
          </w:p>
        </w:tc>
        <w:tc>
          <w:tcPr>
            <w:tcW w:w="32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化学镍废液</w:t>
            </w:r>
          </w:p>
        </w:tc>
        <w:tc>
          <w:tcPr>
            <w:tcW w:w="15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329</w:t>
            </w:r>
          </w:p>
        </w:tc>
        <w:tc>
          <w:tcPr>
            <w:tcW w:w="168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190E2F" w:rsidRPr="00FE3410" w:rsidTr="00FA0E49">
        <w:trPr>
          <w:trHeight w:val="99"/>
          <w:jc w:val="center"/>
        </w:trPr>
        <w:tc>
          <w:tcPr>
            <w:tcW w:w="127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7</w:t>
            </w:r>
          </w:p>
        </w:tc>
        <w:tc>
          <w:tcPr>
            <w:tcW w:w="32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含锡废液</w:t>
            </w:r>
          </w:p>
        </w:tc>
        <w:tc>
          <w:tcPr>
            <w:tcW w:w="15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17</w:t>
            </w:r>
          </w:p>
        </w:tc>
        <w:tc>
          <w:tcPr>
            <w:tcW w:w="168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190E2F" w:rsidRPr="00FE3410" w:rsidTr="00FA0E49">
        <w:trPr>
          <w:trHeight w:val="99"/>
          <w:jc w:val="center"/>
        </w:trPr>
        <w:tc>
          <w:tcPr>
            <w:tcW w:w="127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8</w:t>
            </w:r>
          </w:p>
        </w:tc>
        <w:tc>
          <w:tcPr>
            <w:tcW w:w="32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硫酸铜废液</w:t>
            </w:r>
          </w:p>
        </w:tc>
        <w:tc>
          <w:tcPr>
            <w:tcW w:w="15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10</w:t>
            </w:r>
          </w:p>
        </w:tc>
        <w:tc>
          <w:tcPr>
            <w:tcW w:w="168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190E2F" w:rsidRPr="00FE3410" w:rsidTr="00FA0E49">
        <w:trPr>
          <w:trHeight w:val="99"/>
          <w:jc w:val="center"/>
        </w:trPr>
        <w:tc>
          <w:tcPr>
            <w:tcW w:w="1271" w:type="dxa"/>
            <w:vAlign w:val="center"/>
          </w:tcPr>
          <w:p w:rsidR="00190E2F" w:rsidRPr="00FE3410" w:rsidRDefault="00190E2F" w:rsidP="00FA0E49">
            <w:pPr>
              <w:widowControl/>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9</w:t>
            </w:r>
          </w:p>
        </w:tc>
        <w:tc>
          <w:tcPr>
            <w:tcW w:w="32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含铬污泥</w:t>
            </w:r>
          </w:p>
        </w:tc>
        <w:tc>
          <w:tcPr>
            <w:tcW w:w="15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69</w:t>
            </w:r>
          </w:p>
        </w:tc>
        <w:tc>
          <w:tcPr>
            <w:tcW w:w="168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190E2F" w:rsidRPr="00FE3410" w:rsidTr="00FA0E49">
        <w:trPr>
          <w:trHeight w:val="99"/>
          <w:jc w:val="center"/>
        </w:trPr>
        <w:tc>
          <w:tcPr>
            <w:tcW w:w="127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10</w:t>
            </w:r>
          </w:p>
        </w:tc>
        <w:tc>
          <w:tcPr>
            <w:tcW w:w="32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含镍污泥</w:t>
            </w:r>
          </w:p>
        </w:tc>
        <w:tc>
          <w:tcPr>
            <w:tcW w:w="15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13</w:t>
            </w:r>
          </w:p>
        </w:tc>
        <w:tc>
          <w:tcPr>
            <w:tcW w:w="168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190E2F" w:rsidRPr="00FE3410" w:rsidTr="00FA0E49">
        <w:trPr>
          <w:trHeight w:val="99"/>
          <w:jc w:val="center"/>
        </w:trPr>
        <w:tc>
          <w:tcPr>
            <w:tcW w:w="127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lastRenderedPageBreak/>
              <w:t>11</w:t>
            </w:r>
          </w:p>
        </w:tc>
        <w:tc>
          <w:tcPr>
            <w:tcW w:w="32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废水处理污泥</w:t>
            </w:r>
          </w:p>
        </w:tc>
        <w:tc>
          <w:tcPr>
            <w:tcW w:w="15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237</w:t>
            </w:r>
          </w:p>
        </w:tc>
        <w:tc>
          <w:tcPr>
            <w:tcW w:w="168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190E2F" w:rsidRPr="00FE3410" w:rsidTr="00FA0E49">
        <w:trPr>
          <w:trHeight w:val="99"/>
          <w:jc w:val="center"/>
        </w:trPr>
        <w:tc>
          <w:tcPr>
            <w:tcW w:w="1271" w:type="dxa"/>
            <w:vAlign w:val="center"/>
          </w:tcPr>
          <w:p w:rsidR="00190E2F" w:rsidRPr="00FE3410" w:rsidRDefault="00190E2F" w:rsidP="00FA0E49">
            <w:pPr>
              <w:widowControl/>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12</w:t>
            </w:r>
          </w:p>
        </w:tc>
        <w:tc>
          <w:tcPr>
            <w:tcW w:w="32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含铜污泥</w:t>
            </w:r>
          </w:p>
        </w:tc>
        <w:tc>
          <w:tcPr>
            <w:tcW w:w="15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50</w:t>
            </w:r>
          </w:p>
        </w:tc>
        <w:tc>
          <w:tcPr>
            <w:tcW w:w="168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190E2F" w:rsidRPr="00FE3410" w:rsidTr="00FA0E49">
        <w:trPr>
          <w:trHeight w:val="99"/>
          <w:jc w:val="center"/>
        </w:trPr>
        <w:tc>
          <w:tcPr>
            <w:tcW w:w="127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13</w:t>
            </w:r>
          </w:p>
        </w:tc>
        <w:tc>
          <w:tcPr>
            <w:tcW w:w="32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废铁桶和塑料桶</w:t>
            </w:r>
          </w:p>
        </w:tc>
        <w:tc>
          <w:tcPr>
            <w:tcW w:w="15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280</w:t>
            </w:r>
          </w:p>
        </w:tc>
        <w:tc>
          <w:tcPr>
            <w:tcW w:w="168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190E2F" w:rsidRPr="00FE3410" w:rsidTr="00FA0E49">
        <w:trPr>
          <w:trHeight w:val="99"/>
          <w:jc w:val="center"/>
        </w:trPr>
        <w:tc>
          <w:tcPr>
            <w:tcW w:w="127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14</w:t>
            </w:r>
          </w:p>
        </w:tc>
        <w:tc>
          <w:tcPr>
            <w:tcW w:w="32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废玻璃瓶</w:t>
            </w:r>
          </w:p>
        </w:tc>
        <w:tc>
          <w:tcPr>
            <w:tcW w:w="15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35</w:t>
            </w:r>
          </w:p>
        </w:tc>
        <w:tc>
          <w:tcPr>
            <w:tcW w:w="168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190E2F" w:rsidRPr="00FE3410" w:rsidTr="00FA0E49">
        <w:trPr>
          <w:trHeight w:val="99"/>
          <w:jc w:val="center"/>
        </w:trPr>
        <w:tc>
          <w:tcPr>
            <w:tcW w:w="127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15</w:t>
            </w:r>
          </w:p>
        </w:tc>
        <w:tc>
          <w:tcPr>
            <w:tcW w:w="32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hint="eastAsia"/>
                <w:szCs w:val="21"/>
              </w:rPr>
              <w:t>沾染固废</w:t>
            </w:r>
          </w:p>
        </w:tc>
        <w:tc>
          <w:tcPr>
            <w:tcW w:w="15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160</w:t>
            </w:r>
          </w:p>
        </w:tc>
        <w:tc>
          <w:tcPr>
            <w:tcW w:w="168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190E2F" w:rsidRPr="00FE3410" w:rsidTr="00FA0E49">
        <w:trPr>
          <w:trHeight w:val="99"/>
          <w:jc w:val="center"/>
        </w:trPr>
        <w:tc>
          <w:tcPr>
            <w:tcW w:w="127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16</w:t>
            </w:r>
          </w:p>
        </w:tc>
        <w:tc>
          <w:tcPr>
            <w:tcW w:w="32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废离子交换树脂</w:t>
            </w:r>
            <w:r w:rsidRPr="00FE3410">
              <w:rPr>
                <w:rFonts w:ascii="Times New Roman" w:eastAsiaTheme="minorHAnsi" w:hAnsi="Times New Roman" w:cs="Times New Roman"/>
                <w:szCs w:val="21"/>
              </w:rPr>
              <w:t xml:space="preserve"> /</w:t>
            </w:r>
            <w:r w:rsidRPr="00FE3410">
              <w:rPr>
                <w:rFonts w:ascii="Times New Roman" w:eastAsiaTheme="minorHAnsi" w:hAnsi="Times New Roman" w:cs="Times New Roman"/>
                <w:szCs w:val="21"/>
              </w:rPr>
              <w:t>滤芯</w:t>
            </w:r>
          </w:p>
        </w:tc>
        <w:tc>
          <w:tcPr>
            <w:tcW w:w="15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60</w:t>
            </w:r>
          </w:p>
        </w:tc>
        <w:tc>
          <w:tcPr>
            <w:tcW w:w="168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190E2F" w:rsidRPr="00FE3410" w:rsidTr="00FA0E49">
        <w:trPr>
          <w:trHeight w:val="99"/>
          <w:jc w:val="center"/>
        </w:trPr>
        <w:tc>
          <w:tcPr>
            <w:tcW w:w="127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17</w:t>
            </w:r>
          </w:p>
        </w:tc>
        <w:tc>
          <w:tcPr>
            <w:tcW w:w="32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废机油</w:t>
            </w:r>
          </w:p>
        </w:tc>
        <w:tc>
          <w:tcPr>
            <w:tcW w:w="15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7</w:t>
            </w:r>
          </w:p>
        </w:tc>
        <w:tc>
          <w:tcPr>
            <w:tcW w:w="168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190E2F" w:rsidRPr="00FE3410" w:rsidTr="00FA0E49">
        <w:trPr>
          <w:trHeight w:val="99"/>
          <w:jc w:val="center"/>
        </w:trPr>
        <w:tc>
          <w:tcPr>
            <w:tcW w:w="127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18</w:t>
            </w:r>
          </w:p>
        </w:tc>
        <w:tc>
          <w:tcPr>
            <w:tcW w:w="32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废活性炭</w:t>
            </w:r>
          </w:p>
        </w:tc>
        <w:tc>
          <w:tcPr>
            <w:tcW w:w="15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130</w:t>
            </w:r>
          </w:p>
        </w:tc>
        <w:tc>
          <w:tcPr>
            <w:tcW w:w="168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190E2F" w:rsidRPr="00FE3410" w:rsidTr="00FA0E49">
        <w:trPr>
          <w:trHeight w:val="99"/>
          <w:jc w:val="center"/>
        </w:trPr>
        <w:tc>
          <w:tcPr>
            <w:tcW w:w="127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19</w:t>
            </w:r>
          </w:p>
        </w:tc>
        <w:tc>
          <w:tcPr>
            <w:tcW w:w="32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废汞灯</w:t>
            </w:r>
          </w:p>
        </w:tc>
        <w:tc>
          <w:tcPr>
            <w:tcW w:w="1560"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4</w:t>
            </w:r>
          </w:p>
        </w:tc>
        <w:tc>
          <w:tcPr>
            <w:tcW w:w="1681" w:type="dxa"/>
            <w:vAlign w:val="center"/>
          </w:tcPr>
          <w:p w:rsidR="00190E2F" w:rsidRPr="00FE3410" w:rsidRDefault="00190E2F"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bl>
    <w:p w:rsidR="00190E2F" w:rsidRPr="00745A71" w:rsidRDefault="00190E2F" w:rsidP="00190E2F">
      <w:pPr>
        <w:pStyle w:val="a3"/>
        <w:ind w:left="420" w:firstLineChars="0" w:firstLine="0"/>
        <w:rPr>
          <w:b/>
          <w:sz w:val="24"/>
        </w:rPr>
      </w:pPr>
    </w:p>
    <w:p w:rsidR="004F60BB" w:rsidRPr="00745A71" w:rsidRDefault="004F60BB" w:rsidP="004F60BB">
      <w:pPr>
        <w:pStyle w:val="a3"/>
        <w:numPr>
          <w:ilvl w:val="0"/>
          <w:numId w:val="1"/>
        </w:numPr>
        <w:ind w:firstLineChars="0"/>
        <w:rPr>
          <w:b/>
          <w:sz w:val="24"/>
        </w:rPr>
      </w:pPr>
      <w:r w:rsidRPr="00745A71">
        <w:rPr>
          <w:rFonts w:hint="eastAsia"/>
          <w:b/>
          <w:sz w:val="24"/>
        </w:rPr>
        <w:t>依法落实环境风险防控措施情况</w:t>
      </w:r>
    </w:p>
    <w:p w:rsidR="004F60BB" w:rsidRPr="008F40E3" w:rsidRDefault="004F60BB" w:rsidP="008F40E3">
      <w:pPr>
        <w:ind w:firstLineChars="200" w:firstLine="420"/>
        <w:rPr>
          <w:b/>
        </w:rPr>
      </w:pPr>
      <w:r w:rsidRPr="008F40E3">
        <w:rPr>
          <w:b/>
        </w:rPr>
        <w:t>1）危险化学品储运风险防范措施</w:t>
      </w:r>
      <w:r w:rsidR="008F40E3" w:rsidRPr="008F40E3">
        <w:rPr>
          <w:rFonts w:hint="eastAsia"/>
          <w:b/>
        </w:rPr>
        <w:t>：</w:t>
      </w:r>
    </w:p>
    <w:p w:rsidR="004F60BB" w:rsidRPr="008F40E3" w:rsidRDefault="004F60BB" w:rsidP="008F40E3">
      <w:pPr>
        <w:ind w:firstLineChars="200" w:firstLine="420"/>
        <w:rPr>
          <w:b/>
        </w:rPr>
      </w:pPr>
      <w:r w:rsidRPr="008F40E3">
        <w:rPr>
          <w:rFonts w:hint="eastAsia"/>
          <w:b/>
        </w:rPr>
        <w:t>为防止危险化学品泄漏进入地表水和地下水，公司已采取以下措施：</w:t>
      </w:r>
    </w:p>
    <w:p w:rsidR="004F60BB" w:rsidRDefault="004F60BB" w:rsidP="008F40E3">
      <w:pPr>
        <w:ind w:firstLineChars="200" w:firstLine="420"/>
      </w:pPr>
      <w:r>
        <w:rPr>
          <w:rFonts w:hint="eastAsia"/>
        </w:rPr>
        <w:t>①生产所使用的化学品可分为酸性、碱性以及有机溶剂类，其配送系统分别设置在化学品供应间内，根据化学品的性质，对房间分别考虑防火、防爆，耐腐蚀及排风的要求，同时采用高纯氮气充填容器，以保证化学品的纯度和洁净度。利用双层管道（外面为透明</w:t>
      </w:r>
      <w:r>
        <w:t>PVC 管）输送</w:t>
      </w:r>
      <w:r>
        <w:rPr>
          <w:rFonts w:hint="eastAsia"/>
        </w:rPr>
        <w:t>至使用点，输送过程中很容易监测管道的泄漏状况，以保证化学品系统安全、可靠运行。所有的化学品容器，使用点都设有局部排风以保证室内处于良好的工作环境。</w:t>
      </w:r>
    </w:p>
    <w:p w:rsidR="004F60BB" w:rsidRDefault="004F60BB" w:rsidP="008F40E3">
      <w:pPr>
        <w:ind w:firstLineChars="200" w:firstLine="420"/>
      </w:pPr>
      <w:r>
        <w:rPr>
          <w:rFonts w:hint="eastAsia"/>
        </w:rPr>
        <w:t>②危险品库、化学品库、甲类品库、生产厂房（底层废液收集罐区）地面全部进行防渗处理，设置经过防渗处理的地沟、围堰。保证液体化学品发生泄漏后能够得到有效收集，不进入外围水体。</w:t>
      </w:r>
    </w:p>
    <w:p w:rsidR="004F60BB" w:rsidRDefault="004F60BB" w:rsidP="008F40E3">
      <w:pPr>
        <w:ind w:firstLineChars="200" w:firstLine="420"/>
      </w:pPr>
      <w:r>
        <w:rPr>
          <w:rFonts w:hint="eastAsia"/>
        </w:rPr>
        <w:t>③化学品库以及化学品</w:t>
      </w:r>
      <w:proofErr w:type="gramStart"/>
      <w:r>
        <w:rPr>
          <w:rFonts w:hint="eastAsia"/>
        </w:rPr>
        <w:t>配送房</w:t>
      </w:r>
      <w:proofErr w:type="gramEnd"/>
      <w:r>
        <w:rPr>
          <w:rFonts w:hint="eastAsia"/>
        </w:rPr>
        <w:t>都建有地沟，地势较低，当有化学品泄漏后，液体能自动流入地沟中，最后用泵抽出收集在收容桶内等待处理。</w:t>
      </w:r>
    </w:p>
    <w:p w:rsidR="004F60BB" w:rsidRDefault="004F60BB" w:rsidP="008F40E3">
      <w:pPr>
        <w:ind w:firstLineChars="200" w:firstLine="420"/>
      </w:pPr>
      <w:r>
        <w:rPr>
          <w:rFonts w:hint="eastAsia"/>
        </w:rPr>
        <w:t>④化学品库内设置人员防护设备，如：自备式呼吸器、面罩、防护服等，并设有安全淋浴和洗眼器。</w:t>
      </w:r>
    </w:p>
    <w:p w:rsidR="004F60BB" w:rsidRDefault="004F60BB" w:rsidP="008F40E3">
      <w:pPr>
        <w:ind w:firstLineChars="200" w:firstLine="420"/>
      </w:pPr>
      <w:r>
        <w:rPr>
          <w:rFonts w:hint="eastAsia"/>
        </w:rPr>
        <w:t>⑤为了防止偶然火灾事故造成重大人身伤亡和设备损失，本项目内设计有完整、高效的消防报警系统，整个系统包括感烟系统、应急疏散系统、室内外消防装置系统、排烟系统和应急照明及疏散指示系统。</w:t>
      </w:r>
    </w:p>
    <w:p w:rsidR="004F60BB" w:rsidRDefault="008F40E3" w:rsidP="008F40E3">
      <w:pPr>
        <w:ind w:firstLineChars="200" w:firstLine="420"/>
      </w:pPr>
      <w:r>
        <w:rPr>
          <w:rFonts w:hint="eastAsia"/>
        </w:rPr>
        <w:t>⑥</w:t>
      </w:r>
      <w:r w:rsidR="004F60BB">
        <w:rPr>
          <w:rFonts w:hint="eastAsia"/>
        </w:rPr>
        <w:t>氰化钾等危险物质，应严格控制其物质的运输、储存及使用。首先，氰化钾需储存于危险品库内单独隔开的化学品柜；氰化钾化学品柜上防盗锁，防盗锁上的钥匙</w:t>
      </w:r>
      <w:proofErr w:type="gramStart"/>
      <w:r w:rsidR="004F60BB">
        <w:rPr>
          <w:rFonts w:hint="eastAsia"/>
        </w:rPr>
        <w:t>由化产</w:t>
      </w:r>
      <w:proofErr w:type="gramEnd"/>
      <w:r w:rsidR="004F60BB">
        <w:rPr>
          <w:rFonts w:hint="eastAsia"/>
        </w:rPr>
        <w:t>车间主任负责保管。在其使用过程中应严格做好其登记管理，在化学品下方设置托盘，以便在使用危险化学品的过程中，泄漏或渗漏的包装容器迅速移至安全区域。同时，在涉及氰化钾使用过程产生的氰化氢废气应严格控制其收集及处理，项目设置有备用废气处理系统，确保其产生的废气达标后排放。</w:t>
      </w:r>
    </w:p>
    <w:p w:rsidR="004F60BB" w:rsidRPr="008F40E3" w:rsidRDefault="004F60BB" w:rsidP="008F40E3">
      <w:pPr>
        <w:ind w:firstLineChars="200" w:firstLine="420"/>
        <w:rPr>
          <w:b/>
        </w:rPr>
      </w:pPr>
      <w:r w:rsidRPr="008F40E3">
        <w:rPr>
          <w:b/>
        </w:rPr>
        <w:t>2）危险废物的管理及运输风险措施</w:t>
      </w:r>
    </w:p>
    <w:p w:rsidR="004F60BB" w:rsidRPr="008F40E3" w:rsidRDefault="004F60BB" w:rsidP="008F40E3">
      <w:pPr>
        <w:ind w:firstLineChars="200" w:firstLine="420"/>
        <w:rPr>
          <w:b/>
        </w:rPr>
      </w:pPr>
      <w:r w:rsidRPr="008F40E3">
        <w:rPr>
          <w:b/>
        </w:rPr>
        <w:t>A、危险废物的储存</w:t>
      </w:r>
    </w:p>
    <w:p w:rsidR="004F60BB" w:rsidRDefault="004F60BB" w:rsidP="008F40E3">
      <w:pPr>
        <w:ind w:firstLineChars="200" w:firstLine="420"/>
      </w:pPr>
      <w:r>
        <w:rPr>
          <w:rFonts w:hint="eastAsia"/>
        </w:rPr>
        <w:t>现有厂区已设置危险废物暂存库，</w:t>
      </w:r>
      <w:proofErr w:type="gramStart"/>
      <w:r>
        <w:rPr>
          <w:rFonts w:hint="eastAsia"/>
        </w:rPr>
        <w:t>危废暂存库</w:t>
      </w:r>
      <w:proofErr w:type="gramEnd"/>
      <w:r>
        <w:rPr>
          <w:rFonts w:hint="eastAsia"/>
        </w:rPr>
        <w:t>严格按照《危险废物储存污染控制标准》的要求设计，并做好防风、防雨、防晒和防渗“四防”措施。在建设过程中须做到以下相关要求：</w:t>
      </w:r>
    </w:p>
    <w:p w:rsidR="004F60BB" w:rsidRDefault="004F60BB" w:rsidP="008F40E3">
      <w:pPr>
        <w:ind w:firstLineChars="200" w:firstLine="420"/>
      </w:pPr>
      <w:r>
        <w:rPr>
          <w:rFonts w:hint="eastAsia"/>
        </w:rPr>
        <w:t>①、基础必须全面防渗，</w:t>
      </w:r>
      <w:proofErr w:type="gramStart"/>
      <w:r>
        <w:rPr>
          <w:rFonts w:hint="eastAsia"/>
        </w:rPr>
        <w:t>防渗层须具备</w:t>
      </w:r>
      <w:proofErr w:type="gramEnd"/>
      <w:r>
        <w:rPr>
          <w:rFonts w:hint="eastAsia"/>
        </w:rPr>
        <w:t>防腐性能；</w:t>
      </w:r>
      <w:proofErr w:type="gramStart"/>
      <w:r>
        <w:rPr>
          <w:rFonts w:hint="eastAsia"/>
        </w:rPr>
        <w:t>危废暂存</w:t>
      </w:r>
      <w:proofErr w:type="gramEnd"/>
      <w:r>
        <w:rPr>
          <w:rFonts w:hint="eastAsia"/>
        </w:rPr>
        <w:t>间设置不低于</w:t>
      </w:r>
      <w:r>
        <w:t>10cm 高的防渗围</w:t>
      </w:r>
      <w:r>
        <w:rPr>
          <w:rFonts w:hint="eastAsia"/>
        </w:rPr>
        <w:t>堰，液态</w:t>
      </w:r>
      <w:proofErr w:type="gramStart"/>
      <w:r>
        <w:rPr>
          <w:rFonts w:hint="eastAsia"/>
        </w:rPr>
        <w:t>危废采用</w:t>
      </w:r>
      <w:proofErr w:type="gramEnd"/>
      <w:r>
        <w:rPr>
          <w:rFonts w:hint="eastAsia"/>
        </w:rPr>
        <w:t>专用容器收集且下设防渗托盘，并设置空桶作为备用收容设施。</w:t>
      </w:r>
    </w:p>
    <w:p w:rsidR="004F60BB" w:rsidRDefault="004F60BB" w:rsidP="008F40E3">
      <w:pPr>
        <w:ind w:firstLineChars="200" w:firstLine="420"/>
      </w:pPr>
      <w:r>
        <w:rPr>
          <w:rFonts w:hint="eastAsia"/>
        </w:rPr>
        <w:t>②、地面与裙脚要用坚固、防渗的材料建造，建筑材料必须与危险废物相容；</w:t>
      </w:r>
    </w:p>
    <w:p w:rsidR="004F60BB" w:rsidRDefault="004F60BB" w:rsidP="008F40E3">
      <w:pPr>
        <w:ind w:firstLineChars="200" w:firstLine="420"/>
      </w:pPr>
      <w:r>
        <w:rPr>
          <w:rFonts w:hint="eastAsia"/>
        </w:rPr>
        <w:t>③、必须有泄漏液体收集装置、气体</w:t>
      </w:r>
      <w:proofErr w:type="gramStart"/>
      <w:r>
        <w:rPr>
          <w:rFonts w:hint="eastAsia"/>
        </w:rPr>
        <w:t>导出口</w:t>
      </w:r>
      <w:proofErr w:type="gramEnd"/>
      <w:r>
        <w:rPr>
          <w:rFonts w:hint="eastAsia"/>
        </w:rPr>
        <w:t>及气体净化装置；</w:t>
      </w:r>
    </w:p>
    <w:p w:rsidR="004F60BB" w:rsidRDefault="004F60BB" w:rsidP="008F40E3">
      <w:pPr>
        <w:ind w:firstLineChars="200" w:firstLine="420"/>
      </w:pPr>
      <w:r>
        <w:rPr>
          <w:rFonts w:hint="eastAsia"/>
        </w:rPr>
        <w:lastRenderedPageBreak/>
        <w:t>④、用以存放装载液体、半固体危险废物容器的地方，必须有耐腐蚀的硬化地面，且表面无裂隙；</w:t>
      </w:r>
    </w:p>
    <w:p w:rsidR="004F60BB" w:rsidRDefault="004F60BB" w:rsidP="008F40E3">
      <w:pPr>
        <w:ind w:firstLineChars="200" w:firstLine="420"/>
      </w:pPr>
      <w:r>
        <w:rPr>
          <w:rFonts w:hint="eastAsia"/>
        </w:rPr>
        <w:t>⑤、应设计堵截泄漏的裙脚，地面与裙脚所围建的容积不低于堵截最大容器的最大储量或总储量的五分之一；</w:t>
      </w:r>
    </w:p>
    <w:p w:rsidR="004F60BB" w:rsidRDefault="004F60BB" w:rsidP="008F40E3">
      <w:pPr>
        <w:ind w:firstLineChars="200" w:firstLine="420"/>
      </w:pPr>
      <w:r>
        <w:rPr>
          <w:rFonts w:hint="eastAsia"/>
        </w:rPr>
        <w:t>⑥、衬里材料与堆放危险废物相容，在衬里上设计、建造浸出液收集清除系统；</w:t>
      </w:r>
    </w:p>
    <w:p w:rsidR="004F60BB" w:rsidRDefault="004F60BB" w:rsidP="008F40E3">
      <w:pPr>
        <w:ind w:firstLineChars="200" w:firstLine="420"/>
      </w:pPr>
      <w:r>
        <w:rPr>
          <w:rFonts w:hint="eastAsia"/>
        </w:rPr>
        <w:t>⑦、地面全部防渗、防腐处理，有机类以及其他</w:t>
      </w:r>
      <w:proofErr w:type="gramStart"/>
      <w:r>
        <w:rPr>
          <w:rFonts w:hint="eastAsia"/>
        </w:rPr>
        <w:t>种类危废分类</w:t>
      </w:r>
      <w:proofErr w:type="gramEnd"/>
      <w:r>
        <w:rPr>
          <w:rFonts w:hint="eastAsia"/>
        </w:rPr>
        <w:t>存放，可在室内分区修建地沟，便于渗漏液的分类收集处置；</w:t>
      </w:r>
    </w:p>
    <w:p w:rsidR="004F60BB" w:rsidRDefault="004F60BB" w:rsidP="008F40E3">
      <w:pPr>
        <w:ind w:firstLineChars="200" w:firstLine="420"/>
      </w:pPr>
      <w:r>
        <w:rPr>
          <w:rFonts w:hint="eastAsia"/>
        </w:rPr>
        <w:t>⑧、总贮存量不超过</w:t>
      </w:r>
      <w:r>
        <w:t>300kg(L)的危险废物要放入符合标准的容器内，加上标签，容器放入</w:t>
      </w:r>
      <w:r>
        <w:rPr>
          <w:rFonts w:hint="eastAsia"/>
        </w:rPr>
        <w:t>坚固的柜或箱中，柜或箱应设多个直径不少于</w:t>
      </w:r>
      <w:r>
        <w:t>30 毫米的排气孔。不相容危险废物要分别存放或</w:t>
      </w:r>
      <w:r>
        <w:rPr>
          <w:rFonts w:hint="eastAsia"/>
        </w:rPr>
        <w:t>存放在不渗透间隔分开的区域内，每个部分都应有防漏裙脚</w:t>
      </w:r>
      <w:proofErr w:type="gramStart"/>
      <w:r>
        <w:rPr>
          <w:rFonts w:hint="eastAsia"/>
        </w:rPr>
        <w:t>或储漏</w:t>
      </w:r>
      <w:proofErr w:type="gramEnd"/>
      <w:r>
        <w:rPr>
          <w:rFonts w:hint="eastAsia"/>
        </w:rPr>
        <w:t>盘，防漏裙脚</w:t>
      </w:r>
      <w:proofErr w:type="gramStart"/>
      <w:r>
        <w:rPr>
          <w:rFonts w:hint="eastAsia"/>
        </w:rPr>
        <w:t>或储漏</w:t>
      </w:r>
      <w:proofErr w:type="gramEnd"/>
      <w:r>
        <w:rPr>
          <w:rFonts w:hint="eastAsia"/>
        </w:rPr>
        <w:t>盘的材料要与危险废物相容。</w:t>
      </w:r>
    </w:p>
    <w:p w:rsidR="004F60BB" w:rsidRPr="008F40E3" w:rsidRDefault="004F60BB" w:rsidP="008F40E3">
      <w:pPr>
        <w:ind w:firstLineChars="200" w:firstLine="420"/>
        <w:rPr>
          <w:b/>
        </w:rPr>
      </w:pPr>
      <w:r w:rsidRPr="008F40E3">
        <w:rPr>
          <w:b/>
        </w:rPr>
        <w:t>B、危险废物的运输</w:t>
      </w:r>
    </w:p>
    <w:p w:rsidR="004F60BB" w:rsidRDefault="004F60BB" w:rsidP="008F40E3">
      <w:pPr>
        <w:ind w:firstLineChars="200" w:firstLine="420"/>
      </w:pPr>
      <w:r>
        <w:rPr>
          <w:rFonts w:hint="eastAsia"/>
        </w:rPr>
        <w:t>危险废物在运输过程中存在的环境风险为：危险废物逸散、跑冒滴漏等暂存场地、导致运输路线环境污染事故。为杜绝运输过程中危险废物导致的环境风险事故，建设单位和危险废物处置公司在运输全过程中须做到以下要求：</w:t>
      </w:r>
    </w:p>
    <w:p w:rsidR="004F60BB" w:rsidRDefault="004F60BB" w:rsidP="008F40E3">
      <w:pPr>
        <w:ind w:firstLineChars="200" w:firstLine="420"/>
      </w:pPr>
      <w:r>
        <w:rPr>
          <w:rFonts w:hint="eastAsia"/>
        </w:rPr>
        <w:t>①做好每次外运处置废弃物的运输登记，按要求填报危险废物转移电子联单。</w:t>
      </w:r>
    </w:p>
    <w:p w:rsidR="004F60BB" w:rsidRDefault="004F60BB" w:rsidP="008F40E3">
      <w:pPr>
        <w:ind w:firstLineChars="200" w:firstLine="420"/>
      </w:pPr>
      <w:r>
        <w:rPr>
          <w:rFonts w:hint="eastAsia"/>
        </w:rPr>
        <w:t>②废弃物处置单位的运输人员必须掌握危险化学品运输的安全知识，了解所运载的危险化学品的性质、危害特性、包装容器的使用特性和发生意外时的应急措施。运输车辆必须具有车辆危险货物运输许可证。驾驶人员必须由取得驾驶执照的熟练人员担任。</w:t>
      </w:r>
    </w:p>
    <w:p w:rsidR="004F60BB" w:rsidRDefault="004F60BB" w:rsidP="008F40E3">
      <w:pPr>
        <w:ind w:firstLineChars="200" w:firstLine="420"/>
      </w:pPr>
      <w:r>
        <w:rPr>
          <w:rFonts w:hint="eastAsia"/>
        </w:rPr>
        <w:t>③处置单位在运输危险废弃物时必须配备押运人员，并随时处于押运人员的监管之下，不得超装、超载，严格按照所在城市规定的行车时间和行车路线行驶，不得进入危险化学品运输车辆禁止通行的区域。</w:t>
      </w:r>
    </w:p>
    <w:p w:rsidR="004F60BB" w:rsidRPr="008F40E3" w:rsidRDefault="004F60BB" w:rsidP="008F40E3">
      <w:pPr>
        <w:ind w:firstLineChars="200" w:firstLine="420"/>
        <w:rPr>
          <w:b/>
        </w:rPr>
      </w:pPr>
      <w:r w:rsidRPr="008F40E3">
        <w:rPr>
          <w:b/>
        </w:rPr>
        <w:t>3）废水、废气工程控制措施</w:t>
      </w:r>
    </w:p>
    <w:p w:rsidR="004F60BB" w:rsidRDefault="004F60BB" w:rsidP="008F40E3">
      <w:pPr>
        <w:ind w:firstLineChars="200" w:firstLine="420"/>
      </w:pPr>
      <w:r>
        <w:rPr>
          <w:rFonts w:hint="eastAsia"/>
        </w:rPr>
        <w:t>现有厂区已建立水环境风险二级防控措施，确保事故状态下的污水全部处于受控状态，事故污水应得到有效处理达标后排放，防止对地表水和地下水的污染。其中围堰作为一级预防与控制体系，防治污染雨水和轻微事故泄漏造成的环境污染；应急事故</w:t>
      </w:r>
      <w:proofErr w:type="gramStart"/>
      <w:r>
        <w:rPr>
          <w:rFonts w:hint="eastAsia"/>
        </w:rPr>
        <w:t>池作为</w:t>
      </w:r>
      <w:proofErr w:type="gramEnd"/>
      <w:r>
        <w:rPr>
          <w:rFonts w:hint="eastAsia"/>
        </w:rPr>
        <w:t>二级预防与控制体系，防止重大生产事故泄漏物料和污染消防水造成的环境污染。</w:t>
      </w:r>
    </w:p>
    <w:p w:rsidR="004F60BB" w:rsidRPr="008F40E3" w:rsidRDefault="004F60BB" w:rsidP="008F40E3">
      <w:pPr>
        <w:ind w:firstLineChars="200" w:firstLine="420"/>
        <w:rPr>
          <w:b/>
        </w:rPr>
      </w:pPr>
      <w:r w:rsidRPr="008F40E3">
        <w:rPr>
          <w:b/>
        </w:rPr>
        <w:t>A、废水工程控制措施</w:t>
      </w:r>
    </w:p>
    <w:p w:rsidR="004F60BB" w:rsidRDefault="004F60BB" w:rsidP="008F40E3">
      <w:pPr>
        <w:ind w:firstLineChars="200" w:firstLine="420"/>
      </w:pPr>
      <w:r>
        <w:rPr>
          <w:rFonts w:hint="eastAsia"/>
        </w:rPr>
        <w:t>废水处理站内的设备非正常运行时，可能会使处理出水水质不合格，厂区污水总排</w:t>
      </w:r>
      <w:proofErr w:type="gramStart"/>
      <w:r>
        <w:rPr>
          <w:rFonts w:hint="eastAsia"/>
        </w:rPr>
        <w:t>口采用</w:t>
      </w:r>
      <w:proofErr w:type="gramEnd"/>
      <w:r>
        <w:rPr>
          <w:rFonts w:hint="eastAsia"/>
        </w:rPr>
        <w:t>离心泵外排方式，一旦出现废水设施故障（即自动监测仪发现废水不合格时），立即停止生产并关停外排泵并，废水抽至事故应急池（现有工程已建，</w:t>
      </w:r>
      <w:r>
        <w:t xml:space="preserve">2 </w:t>
      </w:r>
      <w:proofErr w:type="gramStart"/>
      <w:r>
        <w:t>个</w:t>
      </w:r>
      <w:proofErr w:type="gramEnd"/>
      <w:r>
        <w:t>，有效容积分别为800m3、1200 m3）</w:t>
      </w:r>
      <w:r>
        <w:rPr>
          <w:rFonts w:hint="eastAsia"/>
        </w:rPr>
        <w:t>内暂存，待废水处理站内处理设施运转正常后排入废水处理站进行再次处理，达标后排入园区市政污水管网。其使废水在非正常工况下具有一定的缓冲能力，因此，不会直接排入园区市政污水管网。</w:t>
      </w:r>
    </w:p>
    <w:p w:rsidR="004F60BB" w:rsidRDefault="004F60BB" w:rsidP="008F40E3">
      <w:pPr>
        <w:ind w:firstLineChars="200" w:firstLine="420"/>
      </w:pPr>
      <w:r>
        <w:rPr>
          <w:rFonts w:hint="eastAsia"/>
        </w:rPr>
        <w:t>厂区雨水管网设置雨水截止阀，正常情况下，雨水流至市政雨水管网；发生事故状况下，切断雨水管网与市政雨水管网的连接，将雨水抽入事故应急池内。</w:t>
      </w:r>
    </w:p>
    <w:p w:rsidR="004F60BB" w:rsidRPr="008F40E3" w:rsidRDefault="004F60BB" w:rsidP="008F40E3">
      <w:pPr>
        <w:ind w:firstLineChars="200" w:firstLine="420"/>
        <w:rPr>
          <w:b/>
        </w:rPr>
      </w:pPr>
      <w:r w:rsidRPr="008F40E3">
        <w:rPr>
          <w:b/>
        </w:rPr>
        <w:t>B、废气工程控制措施</w:t>
      </w:r>
    </w:p>
    <w:p w:rsidR="004F60BB" w:rsidRDefault="004F60BB" w:rsidP="008F40E3">
      <w:pPr>
        <w:ind w:firstLineChars="200" w:firstLine="420"/>
      </w:pPr>
      <w:r>
        <w:rPr>
          <w:rFonts w:hint="eastAsia"/>
        </w:rPr>
        <w:t>①加强对生产设备的巡视和检查，定期检验各处管道的密封性能及强度，及时淘汰出现安全隐患、超期服务的设备，一旦出现故障及时关闭设备，经维修正常运转后方可再生产；</w:t>
      </w:r>
    </w:p>
    <w:p w:rsidR="004F60BB" w:rsidRDefault="004F60BB" w:rsidP="008F40E3">
      <w:pPr>
        <w:ind w:firstLineChars="200" w:firstLine="420"/>
      </w:pPr>
      <w:r>
        <w:rPr>
          <w:rFonts w:hint="eastAsia"/>
        </w:rPr>
        <w:t>②加强对废气治理设施的日常维护，定期检测废气处理效率并进行检修，一旦出现故障及时停产并抢修，对关键设备及零部件厂区要有备用。详细措施为：</w:t>
      </w:r>
    </w:p>
    <w:p w:rsidR="004F60BB" w:rsidRDefault="004F60BB" w:rsidP="008F40E3">
      <w:pPr>
        <w:ind w:firstLineChars="200" w:firstLine="420"/>
      </w:pPr>
      <w:r>
        <w:t>a. 如果全厂停电，停止生产，无污染物产生。为确保安全，风机仍然继续运转（采用UPS）；</w:t>
      </w:r>
    </w:p>
    <w:p w:rsidR="004F60BB" w:rsidRDefault="004F60BB" w:rsidP="008F40E3">
      <w:pPr>
        <w:ind w:firstLineChars="200" w:firstLine="420"/>
      </w:pPr>
      <w:r>
        <w:t>b. 风机出现故障时，备用风机立即启动；</w:t>
      </w:r>
    </w:p>
    <w:p w:rsidR="004F60BB" w:rsidRDefault="004F60BB" w:rsidP="008F40E3">
      <w:pPr>
        <w:ind w:firstLineChars="200" w:firstLine="420"/>
      </w:pPr>
      <w:r>
        <w:rPr>
          <w:rFonts w:hint="eastAsia"/>
        </w:rPr>
        <w:t>③加强对厂区地面的硬化处理，防止废气污染物沉降后污染土壤；</w:t>
      </w:r>
    </w:p>
    <w:p w:rsidR="004F60BB" w:rsidRDefault="004F60BB" w:rsidP="008F40E3">
      <w:pPr>
        <w:ind w:firstLineChars="200" w:firstLine="420"/>
      </w:pPr>
      <w:r>
        <w:rPr>
          <w:rFonts w:hint="eastAsia"/>
        </w:rPr>
        <w:t>④建议建设单位增设环保设备运行效率、废气管路密封性以及有机废气事故排放的自动</w:t>
      </w:r>
      <w:r>
        <w:rPr>
          <w:rFonts w:hint="eastAsia"/>
        </w:rPr>
        <w:lastRenderedPageBreak/>
        <w:t>监控系统，在上述环节出现故障时及时报警，缩短事故反应时间。</w:t>
      </w:r>
    </w:p>
    <w:p w:rsidR="004F60BB" w:rsidRPr="008F40E3" w:rsidRDefault="004F60BB" w:rsidP="008F40E3">
      <w:pPr>
        <w:ind w:firstLineChars="200" w:firstLine="420"/>
        <w:rPr>
          <w:b/>
        </w:rPr>
      </w:pPr>
      <w:r w:rsidRPr="008F40E3">
        <w:rPr>
          <w:b/>
        </w:rPr>
        <w:t>C、消防废水收集处理措施</w:t>
      </w:r>
    </w:p>
    <w:p w:rsidR="004F60BB" w:rsidRDefault="004F60BB" w:rsidP="008F40E3">
      <w:pPr>
        <w:ind w:firstLineChars="200" w:firstLine="420"/>
      </w:pPr>
      <w:r>
        <w:rPr>
          <w:rFonts w:hint="eastAsia"/>
        </w:rPr>
        <w:t>一旦发生火灾事故，事故处理现场消防污水如不妥善处置，溢流或经雨水系统进入地表水，将造成水污染事故。为防止次生污染的发生，企业厂区内设置环形雨水管网，厂区雨水管网与市政雨水</w:t>
      </w:r>
      <w:proofErr w:type="gramStart"/>
      <w:r>
        <w:rPr>
          <w:rFonts w:hint="eastAsia"/>
        </w:rPr>
        <w:t>管网碰管处</w:t>
      </w:r>
      <w:proofErr w:type="gramEnd"/>
      <w:r>
        <w:rPr>
          <w:rFonts w:hint="eastAsia"/>
        </w:rPr>
        <w:t>设置截留阀和事故应急池，公司对截流措施进行日常管理及维护良好，有专人负责阀门切换，保证消防废水排入污水处理系统。</w:t>
      </w:r>
    </w:p>
    <w:p w:rsidR="004F60BB" w:rsidRPr="008F40E3" w:rsidRDefault="004F60BB" w:rsidP="008F40E3">
      <w:pPr>
        <w:ind w:firstLineChars="200" w:firstLine="420"/>
        <w:rPr>
          <w:b/>
        </w:rPr>
      </w:pPr>
      <w:r w:rsidRPr="008F40E3">
        <w:rPr>
          <w:b/>
        </w:rPr>
        <w:t>4）火灾爆炸事故风险防范措施</w:t>
      </w:r>
    </w:p>
    <w:p w:rsidR="004F60BB" w:rsidRDefault="004F60BB" w:rsidP="008F40E3">
      <w:pPr>
        <w:ind w:firstLineChars="200" w:firstLine="420"/>
      </w:pPr>
      <w:r>
        <w:rPr>
          <w:rFonts w:hint="eastAsia"/>
        </w:rPr>
        <w:t>①消除和控制明火源：在生产区域设置醒目的严禁烟火标志，严禁动火吸烟；使用气焊、电焊等进行维修时，必须按照规定办理动火批准手续，领取动火证，采取防护措施，确保安全无误后，方可动火作业。动火过程中，备好灭火器材，采取防护措施，且必须遵守安全技术规程。</w:t>
      </w:r>
    </w:p>
    <w:p w:rsidR="004F60BB" w:rsidRDefault="008F40E3" w:rsidP="008F40E3">
      <w:pPr>
        <w:ind w:firstLineChars="200" w:firstLine="420"/>
      </w:pPr>
      <w:r>
        <w:rPr>
          <w:rFonts w:hint="eastAsia"/>
        </w:rPr>
        <w:t>②</w:t>
      </w:r>
      <w:r w:rsidR="004F60BB">
        <w:rPr>
          <w:rFonts w:hint="eastAsia"/>
        </w:rPr>
        <w:t>防止工艺装置设备超温：对有超温风险的生产设备，安装温度控制器，当温度超过设置的安全温度时，立即切断生产设备的点源，停止生产，并采用有效的降温措施进行降温。</w:t>
      </w:r>
    </w:p>
    <w:p w:rsidR="004F60BB" w:rsidRDefault="008F40E3" w:rsidP="008F40E3">
      <w:pPr>
        <w:ind w:firstLineChars="200" w:firstLine="420"/>
      </w:pPr>
      <w:r>
        <w:rPr>
          <w:rFonts w:hint="eastAsia"/>
        </w:rPr>
        <w:t>③</w:t>
      </w:r>
      <w:r w:rsidR="004F60BB">
        <w:rPr>
          <w:rFonts w:hint="eastAsia"/>
        </w:rPr>
        <w:t>根据消防工作的需要，应准备足够的各类消防用具</w:t>
      </w:r>
      <w:r w:rsidR="004F60BB">
        <w:t>(消防栓、灭火器等)。各类消防用具必</w:t>
      </w:r>
      <w:r w:rsidR="004F60BB">
        <w:rPr>
          <w:rFonts w:hint="eastAsia"/>
        </w:rPr>
        <w:t>须固定存放在适当地方，并定期进行检查实验，如有损坏或失效时，需立即进行修理和更换补充。严格禁止把消防用具移作他用。</w:t>
      </w:r>
    </w:p>
    <w:p w:rsidR="004F60BB" w:rsidRDefault="008F40E3" w:rsidP="008F40E3">
      <w:pPr>
        <w:ind w:firstLineChars="200" w:firstLine="420"/>
      </w:pPr>
      <w:r>
        <w:rPr>
          <w:rFonts w:hint="eastAsia"/>
        </w:rPr>
        <w:t>④</w:t>
      </w:r>
      <w:r w:rsidR="004F60BB">
        <w:rPr>
          <w:rFonts w:hint="eastAsia"/>
        </w:rPr>
        <w:t>在生产车间、仓库设置可燃气体探测器及报警系统、设置火灾报警系统。该系统由火灾报警控制器、感烟探测器、手动报警按钮及声光讯响器等组成，系统用于监控生产装置的火情，以实现对火灾的早期报警。火灾报警系统由不中断电源供电。</w:t>
      </w:r>
    </w:p>
    <w:p w:rsidR="004F60BB" w:rsidRPr="008F40E3" w:rsidRDefault="004F60BB" w:rsidP="008F40E3">
      <w:pPr>
        <w:ind w:firstLineChars="200" w:firstLine="420"/>
        <w:rPr>
          <w:b/>
        </w:rPr>
      </w:pPr>
      <w:r w:rsidRPr="008F40E3">
        <w:rPr>
          <w:b/>
        </w:rPr>
        <w:t>5）环境风险管理措施</w:t>
      </w:r>
    </w:p>
    <w:p w:rsidR="004F60BB" w:rsidRDefault="004F60BB" w:rsidP="008F40E3">
      <w:pPr>
        <w:ind w:firstLineChars="200" w:firstLine="420"/>
      </w:pPr>
      <w:r>
        <w:rPr>
          <w:rFonts w:hint="eastAsia"/>
        </w:rPr>
        <w:t>①企业必须建立完善的安全管理体系。应按职业安全管理体系的需要，设置必要的安全管理机构，配备相应的专（兼）职管理、检查、安全教育、检测人员。企业必须建立健全各种安全管理制度和规程，建立各种安全管理台帐和记录。</w:t>
      </w:r>
    </w:p>
    <w:p w:rsidR="004F60BB" w:rsidRDefault="004F60BB" w:rsidP="008F40E3">
      <w:pPr>
        <w:ind w:firstLineChars="200" w:firstLine="420"/>
      </w:pPr>
      <w:r>
        <w:rPr>
          <w:rFonts w:hint="eastAsia"/>
        </w:rPr>
        <w:t>②提高生产及管理人员的技术水平。本项目建成投运后，建设单位应严格要求操作和管理人员的技术水平，职工上岗前必须参加培训，落实三级安全教育制度。</w:t>
      </w:r>
    </w:p>
    <w:p w:rsidR="004F60BB" w:rsidRDefault="004F60BB" w:rsidP="008F40E3">
      <w:pPr>
        <w:ind w:firstLineChars="200" w:firstLine="420"/>
      </w:pPr>
      <w:r>
        <w:rPr>
          <w:rFonts w:hint="eastAsia"/>
        </w:rPr>
        <w:t>③按规范要求生产现场配备足够的正压式防毒面具、耳罩、防尘口罩、护目镜等防护器具。厂区内设立风向标，使于发生有毒有害物质泄漏时生产人员辨认风向，撤离至上风向安全地区；并组织可能受影响附近人群撤离，并及时报告有关部门。如果附近有人在上风位置，则紧急往迎风或垂直于风向疏散，如果人在下风向位置，应该尽快沿垂直于风向的方向疏散。</w:t>
      </w:r>
    </w:p>
    <w:p w:rsidR="004F60BB" w:rsidRDefault="004F60BB" w:rsidP="008F40E3">
      <w:pPr>
        <w:ind w:firstLineChars="200" w:firstLine="420"/>
      </w:pPr>
      <w:r>
        <w:rPr>
          <w:rFonts w:hint="eastAsia"/>
        </w:rPr>
        <w:t>④加强对工作人员的安全生产和环境保护教育，必须进行安全技术培训，经考核合格后，持证上岗。</w:t>
      </w:r>
    </w:p>
    <w:p w:rsidR="004F60BB" w:rsidRDefault="004F60BB" w:rsidP="008F40E3">
      <w:pPr>
        <w:ind w:firstLineChars="200" w:firstLine="420"/>
      </w:pPr>
      <w:r>
        <w:rPr>
          <w:rFonts w:hint="eastAsia"/>
        </w:rPr>
        <w:t>⑤主要操作人员应定期学习有关安全生产知识。对从业人员要进行选择，要</w:t>
      </w:r>
      <w:proofErr w:type="gramStart"/>
      <w:r>
        <w:rPr>
          <w:rFonts w:hint="eastAsia"/>
        </w:rPr>
        <w:t>选拨</w:t>
      </w:r>
      <w:proofErr w:type="gramEnd"/>
      <w:r>
        <w:rPr>
          <w:rFonts w:hint="eastAsia"/>
        </w:rPr>
        <w:t>具有一定文化程度、身体健康、心理素质好的人员从事相关工作，并定期进行考察、考核、调整。</w:t>
      </w:r>
    </w:p>
    <w:p w:rsidR="004F60BB" w:rsidRPr="008F40E3" w:rsidRDefault="004F60BB" w:rsidP="008F40E3">
      <w:pPr>
        <w:ind w:firstLineChars="200" w:firstLine="420"/>
        <w:rPr>
          <w:b/>
        </w:rPr>
      </w:pPr>
      <w:r w:rsidRPr="008F40E3">
        <w:rPr>
          <w:b/>
        </w:rPr>
        <w:t>6）突发环境事件应急预案</w:t>
      </w:r>
    </w:p>
    <w:p w:rsidR="004F60BB" w:rsidRDefault="004F60BB" w:rsidP="008F40E3">
      <w:pPr>
        <w:ind w:firstLineChars="200" w:firstLine="420"/>
      </w:pPr>
      <w:r>
        <w:rPr>
          <w:rFonts w:hint="eastAsia"/>
        </w:rPr>
        <w:t>《中华人民共和国安全生产法》、《中华人民共和国职业病防治法》、《中华人民共和国消防法》、国务院《危险化学品安全管理条例》、国务院《关于特大安全事故行政责任追究的规定》、国务院《使用有毒物品作业场所劳动保护条例》、国务院《特种设备安全监察条例》都明确要求企业应编制应急预案。</w:t>
      </w:r>
    </w:p>
    <w:p w:rsidR="008F40E3" w:rsidRDefault="004F60BB" w:rsidP="008F40E3">
      <w:pPr>
        <w:ind w:firstLineChars="200" w:firstLine="420"/>
      </w:pPr>
      <w:r>
        <w:rPr>
          <w:rFonts w:hint="eastAsia"/>
        </w:rPr>
        <w:t>无论预防工作如何周密，风险事故总是难以根本杜绝，制定风险事故应急预案的目的是要迅速而有效的将事故损失减至最小。该项目运行过程中，一旦出现突发事故，必须按事先拟定的应急方案进行紧急处理，它包括应急状态分类、应急计划区、事故等级水平、应急防护和应急医学处理等。现有工程已制定详细的“事故应急救援预案”，并认真执行。</w:t>
      </w:r>
    </w:p>
    <w:p w:rsidR="008F40E3" w:rsidRDefault="008F40E3" w:rsidP="008F40E3">
      <w:pPr>
        <w:ind w:firstLineChars="200" w:firstLine="420"/>
      </w:pPr>
      <w:r>
        <w:rPr>
          <w:rFonts w:hint="eastAsia"/>
        </w:rPr>
        <w:t>对可能发生的事故，应制订应急计划，使各部门在事故发生后能有步骤、有秩序地采取各项应急措施：</w:t>
      </w:r>
    </w:p>
    <w:p w:rsidR="008F40E3" w:rsidRDefault="008F40E3" w:rsidP="008F40E3">
      <w:pPr>
        <w:ind w:firstLineChars="200" w:firstLine="420"/>
      </w:pPr>
      <w:r>
        <w:rPr>
          <w:rFonts w:hint="eastAsia"/>
        </w:rPr>
        <w:t>①事故发生后，应根据具体情况采取应急措施，切断泄漏源、火源，控制事故扩大，同时通知中央控制室，根据事故类型、大小启动相应的应急预案；</w:t>
      </w:r>
    </w:p>
    <w:p w:rsidR="008F40E3" w:rsidRDefault="008F40E3" w:rsidP="008F40E3">
      <w:pPr>
        <w:ind w:firstLineChars="200" w:firstLine="420"/>
      </w:pPr>
      <w:r>
        <w:rPr>
          <w:rFonts w:hint="eastAsia"/>
        </w:rPr>
        <w:lastRenderedPageBreak/>
        <w:t>②发生重大事故，应立即上报相关部门，启动社会救援系统，就近地区调拨到专业救援队伍协助处理；</w:t>
      </w:r>
    </w:p>
    <w:p w:rsidR="008F40E3" w:rsidRDefault="008F40E3" w:rsidP="008F40E3">
      <w:pPr>
        <w:ind w:firstLineChars="200" w:firstLine="420"/>
      </w:pPr>
      <w:r>
        <w:rPr>
          <w:rFonts w:hint="eastAsia"/>
        </w:rPr>
        <w:t>③事故发生后应立即通知当地环境保护局、自来水公司等市政部门，协同事故救援与监控。</w:t>
      </w:r>
    </w:p>
    <w:p w:rsidR="008F40E3" w:rsidRDefault="008F40E3" w:rsidP="008F40E3">
      <w:pPr>
        <w:ind w:firstLineChars="200" w:firstLine="420"/>
      </w:pPr>
      <w:r>
        <w:rPr>
          <w:rFonts w:hint="eastAsia"/>
        </w:rPr>
        <w:t>④除有专业消防队外，公司还应组织义务消防队，并定期组织消防训练，使每名员工都会正确使用消防器材。</w:t>
      </w:r>
    </w:p>
    <w:p w:rsidR="008F40E3" w:rsidRDefault="008F40E3" w:rsidP="008F40E3">
      <w:pPr>
        <w:ind w:firstLineChars="200" w:firstLine="420"/>
      </w:pPr>
      <w:r>
        <w:rPr>
          <w:rFonts w:hint="eastAsia"/>
        </w:rPr>
        <w:t>⑤当发生事故时，公司保卫部门应立即组织人员维持好事故现场周围的秩序，公司各部门要负责本部门周围的秩序，严禁无关人员进入事故现场，保证消防人员补救工作顺利进行。</w:t>
      </w:r>
    </w:p>
    <w:p w:rsidR="008F40E3" w:rsidRDefault="008F40E3" w:rsidP="008F40E3">
      <w:pPr>
        <w:ind w:firstLineChars="200" w:firstLine="420"/>
      </w:pPr>
      <w:r>
        <w:rPr>
          <w:rFonts w:hint="eastAsia"/>
        </w:rPr>
        <w:t>⑥在发生火灾事故十分钟内，保卫部门应立即封锁全厂所有大门，除消防车、救护车、汽车运送消防器材外，无关人员一律禁止入公司，同时增加公司内外巡回和保卫检查工作。</w:t>
      </w:r>
    </w:p>
    <w:p w:rsidR="00FE3410" w:rsidRDefault="008F40E3" w:rsidP="00B81D67">
      <w:pPr>
        <w:ind w:firstLineChars="200" w:firstLine="420"/>
      </w:pPr>
      <w:r>
        <w:rPr>
          <w:rFonts w:hint="eastAsia"/>
        </w:rPr>
        <w:t>⑦在</w:t>
      </w:r>
      <w:r w:rsidR="00B81D67" w:rsidRPr="00B81D67">
        <w:rPr>
          <w:rFonts w:hint="eastAsia"/>
        </w:rPr>
        <w:t>事故发生期间，全所职工必须坚守岗位，按照命令执行各项工作。</w:t>
      </w:r>
    </w:p>
    <w:p w:rsidR="005B3433" w:rsidRPr="00FE3410" w:rsidRDefault="005B3433" w:rsidP="005B3433">
      <w:pPr>
        <w:pStyle w:val="a3"/>
        <w:widowControl/>
        <w:numPr>
          <w:ilvl w:val="0"/>
          <w:numId w:val="1"/>
        </w:numPr>
        <w:ind w:firstLineChars="0"/>
        <w:jc w:val="left"/>
        <w:rPr>
          <w:b/>
          <w:sz w:val="24"/>
          <w:szCs w:val="24"/>
        </w:rPr>
      </w:pPr>
      <w:r w:rsidRPr="00FE3410">
        <w:rPr>
          <w:rFonts w:hint="eastAsia"/>
          <w:b/>
          <w:sz w:val="24"/>
          <w:szCs w:val="24"/>
        </w:rPr>
        <w:t>联系方式</w:t>
      </w:r>
    </w:p>
    <w:p w:rsidR="005B3433" w:rsidRPr="00FE3410" w:rsidRDefault="005B3433" w:rsidP="006B0065">
      <w:pPr>
        <w:widowControl/>
        <w:jc w:val="left"/>
        <w:rPr>
          <w:sz w:val="24"/>
          <w:szCs w:val="24"/>
        </w:rPr>
      </w:pPr>
      <w:r w:rsidRPr="00FE3410">
        <w:rPr>
          <w:rFonts w:hint="eastAsia"/>
          <w:sz w:val="24"/>
          <w:szCs w:val="24"/>
        </w:rPr>
        <w:t>联系人：钟雯</w:t>
      </w:r>
    </w:p>
    <w:p w:rsidR="005B3433" w:rsidRPr="00FE3410" w:rsidRDefault="005B3433" w:rsidP="006B0065">
      <w:pPr>
        <w:widowControl/>
        <w:jc w:val="left"/>
        <w:rPr>
          <w:sz w:val="24"/>
          <w:szCs w:val="24"/>
        </w:rPr>
      </w:pPr>
      <w:r w:rsidRPr="00FE3410">
        <w:rPr>
          <w:rFonts w:hint="eastAsia"/>
          <w:sz w:val="24"/>
          <w:szCs w:val="24"/>
        </w:rPr>
        <w:t>联系电话：0575-88060000-62688</w:t>
      </w:r>
    </w:p>
    <w:p w:rsidR="007453D5" w:rsidRDefault="005B3433" w:rsidP="006B0065">
      <w:r w:rsidRPr="00FE3410">
        <w:rPr>
          <w:rFonts w:hint="eastAsia"/>
          <w:sz w:val="24"/>
          <w:szCs w:val="24"/>
        </w:rPr>
        <w:t>电子邮件</w:t>
      </w:r>
      <w:r>
        <w:rPr>
          <w:rFonts w:hint="eastAsia"/>
          <w:sz w:val="24"/>
          <w:szCs w:val="24"/>
        </w:rPr>
        <w:t>：</w:t>
      </w:r>
      <w:r w:rsidRPr="00FE3410">
        <w:rPr>
          <w:sz w:val="24"/>
          <w:szCs w:val="24"/>
        </w:rPr>
        <w:t xml:space="preserve">Wen_Zhong@unt-c.com </w:t>
      </w:r>
    </w:p>
    <w:p w:rsidR="00F848E1" w:rsidRPr="008D56A7" w:rsidRDefault="00F848E1" w:rsidP="006B0065">
      <w:bookmarkStart w:id="0" w:name="_GoBack"/>
      <w:bookmarkEnd w:id="0"/>
    </w:p>
    <w:sectPr w:rsidR="00F848E1" w:rsidRPr="008D56A7" w:rsidSect="00B26CDE">
      <w:pgSz w:w="11906" w:h="16838"/>
      <w:pgMar w:top="993"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DA4"/>
    <w:multiLevelType w:val="hybridMultilevel"/>
    <w:tmpl w:val="83A274CE"/>
    <w:lvl w:ilvl="0" w:tplc="B43CFD62">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8A6206"/>
    <w:multiLevelType w:val="hybridMultilevel"/>
    <w:tmpl w:val="840A04C0"/>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BC92A54"/>
    <w:multiLevelType w:val="hybridMultilevel"/>
    <w:tmpl w:val="C7E6662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4811594"/>
    <w:multiLevelType w:val="hybridMultilevel"/>
    <w:tmpl w:val="2BD03A5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E94084"/>
    <w:multiLevelType w:val="hybridMultilevel"/>
    <w:tmpl w:val="3294A4C6"/>
    <w:lvl w:ilvl="0" w:tplc="AB9628C4">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48"/>
    <w:rsid w:val="00082FDA"/>
    <w:rsid w:val="000E14A9"/>
    <w:rsid w:val="00190E2F"/>
    <w:rsid w:val="00192D26"/>
    <w:rsid w:val="001A7CE7"/>
    <w:rsid w:val="002D2848"/>
    <w:rsid w:val="003C6DB4"/>
    <w:rsid w:val="004B19E7"/>
    <w:rsid w:val="004F60BB"/>
    <w:rsid w:val="0055448F"/>
    <w:rsid w:val="005A0867"/>
    <w:rsid w:val="005B3433"/>
    <w:rsid w:val="00613E77"/>
    <w:rsid w:val="006726DD"/>
    <w:rsid w:val="006B0065"/>
    <w:rsid w:val="006D36BB"/>
    <w:rsid w:val="00713FFB"/>
    <w:rsid w:val="007453D5"/>
    <w:rsid w:val="00745A71"/>
    <w:rsid w:val="007F356B"/>
    <w:rsid w:val="008D56A7"/>
    <w:rsid w:val="008F40E3"/>
    <w:rsid w:val="00936C9B"/>
    <w:rsid w:val="00953C57"/>
    <w:rsid w:val="00966C82"/>
    <w:rsid w:val="00981F4A"/>
    <w:rsid w:val="009C3501"/>
    <w:rsid w:val="00A23AE6"/>
    <w:rsid w:val="00AF44AF"/>
    <w:rsid w:val="00B26CDE"/>
    <w:rsid w:val="00B81D67"/>
    <w:rsid w:val="00BD5095"/>
    <w:rsid w:val="00BE47FB"/>
    <w:rsid w:val="00C91337"/>
    <w:rsid w:val="00D33978"/>
    <w:rsid w:val="00D47F51"/>
    <w:rsid w:val="00D84F46"/>
    <w:rsid w:val="00EA0F53"/>
    <w:rsid w:val="00F44756"/>
    <w:rsid w:val="00F52437"/>
    <w:rsid w:val="00F848E1"/>
    <w:rsid w:val="00FA0E49"/>
    <w:rsid w:val="00FE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CA98"/>
  <w15:chartTrackingRefBased/>
  <w15:docId w15:val="{E0A58FFC-112C-4308-9EE4-44A7F7C0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0BB"/>
    <w:pPr>
      <w:ind w:firstLineChars="200" w:firstLine="420"/>
    </w:pPr>
  </w:style>
  <w:style w:type="table" w:styleId="a4">
    <w:name w:val="Table Grid"/>
    <w:basedOn w:val="a1"/>
    <w:uiPriority w:val="39"/>
    <w:rsid w:val="004F6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6DD"/>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31042">
      <w:bodyDiv w:val="1"/>
      <w:marLeft w:val="0"/>
      <w:marRight w:val="0"/>
      <w:marTop w:val="0"/>
      <w:marBottom w:val="0"/>
      <w:divBdr>
        <w:top w:val="none" w:sz="0" w:space="0" w:color="auto"/>
        <w:left w:val="none" w:sz="0" w:space="0" w:color="auto"/>
        <w:bottom w:val="none" w:sz="0" w:space="0" w:color="auto"/>
        <w:right w:val="none" w:sz="0" w:space="0" w:color="auto"/>
      </w:divBdr>
    </w:div>
    <w:div w:id="834535599">
      <w:bodyDiv w:val="1"/>
      <w:marLeft w:val="0"/>
      <w:marRight w:val="0"/>
      <w:marTop w:val="0"/>
      <w:marBottom w:val="0"/>
      <w:divBdr>
        <w:top w:val="none" w:sz="0" w:space="0" w:color="auto"/>
        <w:left w:val="none" w:sz="0" w:space="0" w:color="auto"/>
        <w:bottom w:val="none" w:sz="0" w:space="0" w:color="auto"/>
        <w:right w:val="none" w:sz="0" w:space="0" w:color="auto"/>
      </w:divBdr>
    </w:div>
    <w:div w:id="212769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 Zhong 钟雯</dc:creator>
  <cp:keywords/>
  <dc:description/>
  <cp:lastModifiedBy>Wen Zhong 钟雯</cp:lastModifiedBy>
  <cp:revision>82</cp:revision>
  <dcterms:created xsi:type="dcterms:W3CDTF">2025-07-07T02:43:00Z</dcterms:created>
  <dcterms:modified xsi:type="dcterms:W3CDTF">2025-07-09T00:56:00Z</dcterms:modified>
</cp:coreProperties>
</file>